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3.1日-3.15日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260"/>
        <w:gridCol w:w="4754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7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白山康琳大药房有限公司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91220600MA7FNXJL17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王忠孝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吉DA4391275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白山市浑江区济恩堂大药房有限公司利安花园店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91220602MA14TQDY2E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吉DA4391273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2022/3/4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2027/3/3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547231B"/>
    <w:rsid w:val="05806D3F"/>
    <w:rsid w:val="069A5CCA"/>
    <w:rsid w:val="0F7362E8"/>
    <w:rsid w:val="17335C87"/>
    <w:rsid w:val="1C607904"/>
    <w:rsid w:val="21722E96"/>
    <w:rsid w:val="234A5067"/>
    <w:rsid w:val="24711FF6"/>
    <w:rsid w:val="250F049B"/>
    <w:rsid w:val="26D14F97"/>
    <w:rsid w:val="28472AE6"/>
    <w:rsid w:val="3CAE48ED"/>
    <w:rsid w:val="43AA27AA"/>
    <w:rsid w:val="4B2871D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73B4DDD53ADA4F56A9DCCAD4C115818E</vt:lpwstr>
  </property>
</Properties>
</file>