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07.16日--07.31日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</w:p>
    <w:p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990"/>
        <w:gridCol w:w="960"/>
        <w:gridCol w:w="1425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白山市多福康大药房有限公司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91220600MA7CFLDTXQ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孙守坤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吉DA4391312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中成药、化学药制剂、抗生素、生物制品（除疫苗）***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2022/07/18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2027/07/17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白山新益康大药房有限公司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91220600MABTU4EA96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宋芳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吉DA4391313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中成药、化学原料药及其制剂、抗生素原料药及其制剂、生物制品（除疫苗）、生化药品、中药饮片***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2022/07/28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2027/07/27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白山市浑江区佳合元药店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91220602MA7FNAB576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唐辉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吉DA4391263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化学药制剂、中成药、抗生素、中药饮片***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7/26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2027/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白山市浑江区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百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兴大药房有限公司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91220602MABRPBNE9M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刘贵颖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吉DA43913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7/2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2027/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7/2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白山益康堂大药房有限公司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91220601MA1448QG22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王信丹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吉DA4391163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化学药制品、中成药、抗生素、生物制品（除疫苗）中药饮片、生化药品***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7/25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2026/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6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吉林大药房药业股份有限公司白山江畔明珠连锁店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91220604MA17CRNW2Y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仇健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吉CB4391144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7/25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2025/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7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吉林大药房药业股份有限公司白山红旗街连锁店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91220601MA159MYU4W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仇健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吉CB4391009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7/25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8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吉林大药房药业股份有限公司民中街连锁店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91220602MA0Y61NH9M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仇健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吉CB4391010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7/25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2027/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9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吉林大药房药业股份有限公司白山向阳路连锁店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91220600MA17N58M5L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仇健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吉CB4391114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7/26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2025/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吉林大药房药业股份有限公司白山惠民市场连锁店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91220600MA171CJF7D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仇健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吉CB4391021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7/26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吉林大药房药业股份有限公司白山团结路连锁店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91220600MA84T4207E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仇健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吉CB4391237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化学药制剂、中成药、抗生素、生物制品（除疫苗）、生化药品***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7/27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2026/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白山市浑江区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百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兴大药房有限公司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91220602MABRPBNE9M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刘贵颖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吉DA43913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2027/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吉林大药房药业股份有限公司白山富民小区连锁店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91220600MA17JMK57D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仇健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吉CB4391069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化学药制剂、中成药、抗生素、生物制品（除疫苗）、生化药品***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7/27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2025/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吉林大药房药业股份有限公司白山通江路连锁店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91220602MA14A5GU8R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仇健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吉CB4391020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7/28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9/28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ab/>
      </w: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B7D7B37"/>
    <w:rsid w:val="0F032474"/>
    <w:rsid w:val="684D5822"/>
    <w:rsid w:val="6AA74DA1"/>
    <w:rsid w:val="6B2A3920"/>
    <w:rsid w:val="75115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818</Words>
  <Characters>1466</Characters>
  <Lines>85</Lines>
  <Paragraphs>64</Paragraphs>
  <TotalTime>6</TotalTime>
  <ScaleCrop>false</ScaleCrop>
  <LinksUpToDate>false</LinksUpToDate>
  <CharactersWithSpaces>1467</CharactersWithSpaces>
  <Application>WPS Office_11.1.0.11875_F1E327BC-269C-435d-A152-05C5408002CA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2022-08-01T08:14:06Z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73B4DDD53ADA4F56A9DCCAD4C115818E</vt:lpwstr>
  </property>
</Properties>
</file>