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g"/>
  <Override PartName="/word/settings.xml" ContentType="application/vnd.openxmlformats-officedocument.wordprocessingml.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shd w:val="clear" w:color="auto" w:fill="FFFFFF"/>
        <w:spacing w:line="359" w:lineRule="atLeast"/>
        <w:rPr>
          <w:rFonts w:ascii="寰蒋闆呴粦" w:hAnsi="寰蒋闆呴粦" w:hint="eastAsia"/>
          <w:b/>
          <w:bCs/>
          <w:color w:val="000000"/>
          <w:sz w:val="32"/>
          <w:szCs w:val="32"/>
        </w:rPr>
      </w:pPr>
      <w:r>
        <w:rPr>
          <w:rFonts w:ascii="寰蒋闆呴粦" w:hAnsi="寰蒋闆呴粦"/>
          <w:b/>
          <w:bCs/>
          <w:color w:val="000000"/>
          <w:sz w:val="32"/>
          <w:szCs w:val="32"/>
        </w:rPr>
        <mc:AlternateContent>
          <mc:Choice Requires="wps">
            <w:drawing>
              <wp:anchor distT="0" distB="0" distL="85723" distR="85723" simplePos="0" relativeHeight="22" behindDoc="0" locked="0" layoutInCell="1" hidden="0" allowOverlap="1">
                <wp:simplePos x="0" y="0"/>
                <wp:positionH relativeFrom="column">
                  <wp:posOffset>7722848</wp:posOffset>
                </wp:positionH>
                <wp:positionV relativeFrom="paragraph">
                  <wp:posOffset>7633315</wp:posOffset>
                </wp:positionV>
                <wp:extent cx="5764654" cy="20107"/>
                <wp:effectExtent l="0" t="0" r="0" b="0"/>
                <wp:wrapNone/>
                <wp:docPr id="1" name="直线"/>
                <wp:cNvGraphicFramePr>
                  <a:graphicFrameLocks noChangeAspect="0"/>
                </wp:cNvGraphicFramePr>
                <a:graphic>
                  <a:graphicData uri="http://schemas.microsoft.com/office/word/2010/wordprocessingShape">
                    <wps:wsp>
                      <wps:cNvSpPr/>
                      <wps:spPr>
                        <a:xfrm flipV="1" rot="21600000">
                          <a:off x="0" y="0"/>
                          <a:ext cx="5764654" cy="20107"/>
                        </a:xfrm>
                        <a:prstGeom prst="line"/>
                        <a:noFill/>
                        <a:ln w="9525" cmpd="sng" cap="flat">
                          <a:solidFill>
                            <a:srgbClr val="FF0000"/>
                          </a:solidFill>
                          <a:prstDash val="solid"/>
                          <a:miter/>
                        </a:ln>
                      </wps:spPr>
                      <wps:bodyPr vert="horz" wrap="square" lIns="91440" tIns="45720" rIns="91440" bIns="45720" anchor="t" anchorCtr="0" upright="1">
                        <a:noAutofit/>
                      </wps:bodyPr>
                    </wps:wsp>
                  </a:graphicData>
                </a:graphic>
              </wp:anchor>
            </w:drawing>
          </mc:Choice>
          <mc:Fallback>
            <w:pict>
              <v:line type="#_x0000_t20" id="直线 2" o:spid="_x0000_s2" from="608.09827pt,601.0484pt" to="1062.008pt,602.6317pt" filled="f" stroked="t" style="position:absolute;flip:y;z-index:22;mso-position-horizontal:absolute;mso-position-vertical:absolute;mso-wrap-distance-left:6.749897pt;mso-wrap-distance-right:6.749897pt;visibility:visible;">
                <v:stroke color="#FF0000"/>
              </v:line>
            </w:pict>
          </mc:Fallback>
        </mc:AlternateContent>
      </w:r>
      <w:r>
        <w:rPr>
          <w:rFonts w:ascii="寰蒋闆呴粦" w:hAnsi="寰蒋闆呴粦" w:hint="eastAsia"/>
          <w:b/>
          <w:bCs/>
          <w:color w:val="000000"/>
          <w:sz w:val="32"/>
          <w:szCs w:val="32"/>
        </w:rPr>
        <w:drawing>
          <wp:inline distT="0" distB="0" distL="85723" distR="85723">
            <wp:extent cx="5616574" cy="1735477"/>
            <wp:effectExtent l="0" t="0" r="41" b="46"/>
            <wp:docPr id="3" name="图片"/>
            <wp:cNvGraphicFramePr>
              <a:graphicFrameLocks noChangeAspect="1"/>
            </wp:cNvGraphicFramePr>
            <a:graphic>
              <a:graphicData uri="http://schemas.openxmlformats.org/drawingml/2006/picture">
                <pic:pic>
                  <pic:nvPicPr>
                    <pic:cNvPr id="5" name="图片 5"/>
                    <pic:cNvPicPr/>
                  </pic:nvPicPr>
                  <pic:blipFill>
                    <a:blip r:embed="rId5"/>
                    <a:stretch>
                      <a:fillRect/>
                    </a:stretch>
                  </pic:blipFill>
                  <pic:spPr>
                    <a:xfrm rot="0">
                      <a:off x="0" y="0"/>
                      <a:ext cx="5616574" cy="1735477"/>
                    </a:xfrm>
                    <a:prstGeom prst="rect"/>
                    <a:noFill/>
                    <a:ln w="9525" cmpd="sng" cap="flat">
                      <a:noFill/>
                      <a:prstDash val="solid"/>
                      <a:miter/>
                    </a:ln>
                  </pic:spPr>
                </pic:pic>
              </a:graphicData>
            </a:graphic>
          </wp:inline>
        </w:drawing>
      </w:r>
    </w:p>
    <w:p>
      <w:pPr>
        <w:shd w:val="clear" w:color="auto" w:fill="FFFFFF"/>
        <w:spacing w:line="359" w:lineRule="atLeast"/>
        <w:jc w:val="left"/>
        <w:rPr>
          <w:rFonts w:ascii="仿宋_GB2312" w:eastAsia="仿宋_GB2312"/>
          <w:sz w:val="32"/>
          <w:szCs w:val="32"/>
        </w:rPr>
      </w:pPr>
      <w:r>
        <w:rPr>
          <w:rFonts w:ascii="仿宋_GB2312" w:eastAsia="仿宋_GB2312"/>
          <w:sz w:val="32"/>
          <w:szCs w:val="32"/>
        </w:rPr>
        <mc:AlternateContent>
          <mc:Choice Requires="wps">
            <w:drawing>
              <wp:anchor distT="0" distB="0" distL="85723" distR="85723" simplePos="0" relativeHeight="24" behindDoc="0" locked="0" layoutInCell="1" hidden="0" allowOverlap="1">
                <wp:simplePos x="0" y="0"/>
                <wp:positionH relativeFrom="column">
                  <wp:posOffset>7722848</wp:posOffset>
                </wp:positionH>
                <wp:positionV relativeFrom="paragraph">
                  <wp:posOffset>5794922</wp:posOffset>
                </wp:positionV>
                <wp:extent cx="5764654" cy="20107"/>
                <wp:effectExtent l="0" t="0" r="0" b="0"/>
                <wp:wrapNone/>
                <wp:docPr id="6" name="直线"/>
                <wp:cNvGraphicFramePr>
                  <a:graphicFrameLocks noChangeAspect="0"/>
                </wp:cNvGraphicFramePr>
                <a:graphic>
                  <a:graphicData uri="http://schemas.microsoft.com/office/word/2010/wordprocessingShape">
                    <wps:wsp>
                      <wps:cNvSpPr/>
                      <wps:spPr>
                        <a:xfrm flipV="1" rot="21600000">
                          <a:off x="0" y="0"/>
                          <a:ext cx="5764654" cy="20107"/>
                        </a:xfrm>
                        <a:prstGeom prst="line"/>
                        <a:noFill/>
                        <a:ln w="9525" cmpd="sng" cap="flat">
                          <a:solidFill>
                            <a:srgbClr val="FF0000"/>
                          </a:solidFill>
                          <a:prstDash val="solid"/>
                          <a:miter/>
                        </a:ln>
                      </wps:spPr>
                      <wps:bodyPr vert="horz" wrap="square" lIns="91440" tIns="45720" rIns="91440" bIns="45720" anchor="t" anchorCtr="0" upright="1">
                        <a:noAutofit/>
                      </wps:bodyPr>
                    </wps:wsp>
                  </a:graphicData>
                </a:graphic>
              </wp:anchor>
            </w:drawing>
          </mc:Choice>
          <mc:Fallback>
            <w:pict>
              <v:line type="#_x0000_t20" id="直线 7" o:spid="_x0000_s7" from="608.09827pt,456.29306pt" to="1062.008pt,457.87634pt" filled="f" stroked="t" style="position:absolute;flip:y;z-index:24;mso-position-horizontal:absolute;mso-position-vertical:absolute;mso-wrap-distance-left:6.749897pt;mso-wrap-distance-right:6.749897pt;visibility:visible;">
                <v:stroke color="#FF0000"/>
              </v:line>
            </w:pict>
          </mc:Fallback>
        </mc:AlternateContent>
      </w:r>
      <w:r>
        <w:rPr>
          <w:rFonts w:ascii="仿宋_GB2312" w:eastAsia="仿宋_GB2312" w:hint="eastAsia"/>
          <w:sz w:val="32"/>
          <w:szCs w:val="32"/>
        </w:rPr>
        <w:t xml:space="preserve">                           </w:t>
      </w:r>
      <w:r>
        <w:rPr>
          <w:rFonts w:ascii="仿宋_GB2312" w:eastAsia="仿宋_GB2312"/>
          <w:sz w:val="32"/>
          <w:szCs w:val="32"/>
        </w:rPr>
        <w:t xml:space="preserve">      </w:t>
      </w:r>
    </w:p>
    <w:p>
      <w:pPr>
        <w:shd w:val="clear" w:color="auto" w:fill="FFFFFF"/>
        <w:spacing w:line="359" w:lineRule="atLeast"/>
        <w:ind w:firstLineChars="800" w:firstLine="2560"/>
        <w:jc w:val="left"/>
        <w:rPr>
          <w:rFonts w:ascii="仿宋_GB2312" w:eastAsia="仿宋_GB2312"/>
          <w:sz w:val="32"/>
          <w:szCs w:val="32"/>
        </w:rPr>
      </w:pPr>
      <w:r>
        <w:rPr>
          <w:rFonts w:ascii="仿宋" w:eastAsia="仿宋" w:hint="eastAsia"/>
          <w:vanish w:val="0"/>
          <w:kern w:val="2"/>
          <w:sz w:val="32"/>
          <w:szCs w:val="32"/>
        </w:rPr>
        <w:t>白山财资〔202</w:t>
      </w:r>
      <w:r>
        <w:rPr>
          <w:rFonts w:ascii="仿宋" w:eastAsia="仿宋"/>
          <w:vanish w:val="0"/>
          <w:kern w:val="2"/>
          <w:sz w:val="32"/>
          <w:szCs w:val="32"/>
        </w:rPr>
        <w:t>4</w:t>
      </w:r>
      <w:r>
        <w:rPr>
          <w:rFonts w:ascii="仿宋" w:eastAsia="仿宋" w:hint="eastAsia"/>
          <w:vanish w:val="0"/>
          <w:kern w:val="2"/>
          <w:sz w:val="32"/>
          <w:szCs w:val="32"/>
        </w:rPr>
        <w:t>〕</w:t>
      </w:r>
      <w:r>
        <w:rPr>
          <w:rFonts w:ascii="仿宋" w:eastAsia="仿宋"/>
          <w:vanish w:val="0"/>
          <w:kern w:val="2"/>
          <w:sz w:val="32"/>
          <w:szCs w:val="32"/>
        </w:rPr>
        <w:t>94</w:t>
      </w:r>
      <w:r>
        <w:rPr>
          <w:rFonts w:ascii="仿宋" w:eastAsia="仿宋" w:hint="eastAsia"/>
          <w:vanish w:val="0"/>
          <w:kern w:val="2"/>
          <w:sz w:val="32"/>
          <w:szCs w:val="32"/>
        </w:rPr>
        <w:t>号</w:t>
      </w:r>
    </w:p>
    <w:p>
      <w:pPr>
        <w:shd w:val="clear" w:color="auto" w:fill="FFFFFF"/>
        <w:spacing w:line="359" w:lineRule="atLeast"/>
        <w:jc w:val="left"/>
        <w:rPr>
          <w:rFonts w:ascii="仿宋_GB2312" w:eastAsia="仿宋_GB2312"/>
          <w:sz w:val="32"/>
          <w:szCs w:val="32"/>
        </w:rPr>
      </w:pPr>
      <w:r>
        <mc:AlternateContent>
          <mc:Choice Requires="wps">
            <w:drawing>
              <wp:anchor distT="0" distB="0" distL="85723" distR="85723" simplePos="0" relativeHeight="20" behindDoc="0" locked="0" layoutInCell="1" hidden="0" allowOverlap="1">
                <wp:simplePos x="0" y="0"/>
                <wp:positionH relativeFrom="column">
                  <wp:posOffset>-71722</wp:posOffset>
                </wp:positionH>
                <wp:positionV relativeFrom="paragraph">
                  <wp:posOffset>50100</wp:posOffset>
                </wp:positionV>
                <wp:extent cx="5771005" cy="26457"/>
                <wp:effectExtent l="0" t="0" r="0" b="0"/>
                <wp:wrapNone/>
                <wp:docPr id="8" name="直线"/>
                <wp:cNvGraphicFramePr>
                  <a:graphicFrameLocks noChangeAspect="0"/>
                </wp:cNvGraphicFramePr>
                <a:graphic>
                  <a:graphicData uri="http://schemas.microsoft.com/office/word/2010/wordprocessingShape">
                    <wps:wsp>
                      <wps:cNvSpPr/>
                      <wps:spPr>
                        <a:xfrm flipV="1" rot="21600000">
                          <a:off x="0" y="0"/>
                          <a:ext cx="5771005" cy="26457"/>
                        </a:xfrm>
                        <a:prstGeom prst="line"/>
                        <a:noFill/>
                        <a:ln w="25400" cmpd="sng" cap="flat">
                          <a:solidFill>
                            <a:srgbClr val="FF0000"/>
                          </a:solidFill>
                          <a:prstDash val="solid"/>
                          <a:miter/>
                        </a:ln>
                      </wps:spPr>
                      <wps:bodyPr vert="horz" wrap="square" lIns="91440" tIns="45720" rIns="91440" bIns="45720" anchor="t" anchorCtr="0" upright="1">
                        <a:noAutofit/>
                      </wps:bodyPr>
                    </wps:wsp>
                  </a:graphicData>
                </a:graphic>
              </wp:anchor>
            </w:drawing>
          </mc:Choice>
          <mc:Fallback>
            <w:pict>
              <v:line type="#_x0000_t20" id="直线 9" o:spid="_x0000_s9" from="-5.6474133pt,3.9449244pt" to="448.76245pt,6.028221pt" filled="f" stroked="t" strokeweight="2.0pt" style="position:absolute;flip:y;z-index:20;mso-position-horizontal:absolute;mso-position-vertical:absolute;mso-wrap-distance-left:6.749897pt;mso-wrap-distance-right:6.749897pt;visibility:visible;">
                <v:stroke color="#FF0000"/>
              </v:line>
            </w:pict>
          </mc:Fallback>
        </mc:AlternateContent>
      </w:r>
    </w:p>
    <w:p>
      <w:pPr>
        <w:ind w:firstLineChars="50" w:firstLine="220"/>
        <w:jc w:val="center"/>
        <w:rPr>
          <w:rFonts w:ascii="方正小标宋_GBK" w:eastAsia="方正小标宋_GBK"/>
          <w:sz w:val="44"/>
          <w:szCs w:val="44"/>
        </w:rPr>
      </w:pPr>
      <w:r>
        <w:rPr>
          <w:rFonts w:ascii="方正小标宋_GBK" w:eastAsia="方正小标宋_GBK" w:hint="eastAsia"/>
          <w:sz w:val="44"/>
          <w:szCs w:val="44"/>
        </w:rPr>
        <w:t>白山市财政局 白山市</w:t>
      </w:r>
      <w:r>
        <w:rPr>
          <w:rFonts w:ascii="方正小标宋_GBK" w:eastAsia="方正小标宋_GBK"/>
          <w:sz w:val="44"/>
          <w:szCs w:val="44"/>
        </w:rPr>
        <w:t>文化广播电视</w:t>
      </w:r>
    </w:p>
    <w:p>
      <w:pPr>
        <w:ind w:firstLineChars="50" w:firstLine="220"/>
        <w:jc w:val="center"/>
        <w:rPr>
          <w:rFonts w:ascii="方正小标宋_GBK" w:eastAsia="方正小标宋_GBK"/>
          <w:sz w:val="44"/>
          <w:szCs w:val="44"/>
        </w:rPr>
      </w:pPr>
      <w:r>
        <w:rPr>
          <w:rFonts w:ascii="方正小标宋_GBK" w:eastAsia="方正小标宋_GBK"/>
          <w:sz w:val="44"/>
          <w:szCs w:val="44"/>
        </w:rPr>
        <w:t>和旅游局</w:t>
      </w:r>
      <w:r>
        <w:rPr>
          <w:rFonts w:ascii="方正小标宋_GBK" w:eastAsia="方正小标宋_GBK" w:hint="eastAsia"/>
          <w:sz w:val="44"/>
          <w:szCs w:val="44"/>
        </w:rPr>
        <w:t>关于印发《白山市国有文物资源资产管理办法》的通知</w:t>
      </w:r>
    </w:p>
    <w:p>
      <w:pPr>
        <w:pStyle w:val="15"/>
        <w:ind w:firstLine="560"/>
      </w:pPr>
    </w:p>
    <w:p>
      <w:pPr>
        <w:ind w:left="0"/>
        <w:rPr>
          <w:rFonts w:ascii="仿宋" w:eastAsia="仿宋" w:hint="eastAsia"/>
          <w:sz w:val="32"/>
          <w:szCs w:val="32"/>
        </w:rPr>
      </w:pPr>
      <w:r>
        <w:rPr>
          <w:rFonts w:ascii="仿宋" w:eastAsia="仿宋"/>
          <w:sz w:val="32"/>
          <w:szCs w:val="32"/>
        </w:rPr>
        <w:t>浑江区财政局、江源区财政局</w:t>
      </w:r>
      <w:r>
        <w:rPr>
          <w:rFonts w:ascii="仿宋" w:eastAsia="仿宋" w:hint="eastAsia"/>
          <w:sz w:val="32"/>
          <w:szCs w:val="32"/>
        </w:rPr>
        <w:t>、</w:t>
      </w:r>
      <w:r>
        <w:rPr>
          <w:rFonts w:ascii="仿宋" w:eastAsia="仿宋"/>
          <w:sz w:val="32"/>
          <w:szCs w:val="32"/>
        </w:rPr>
        <w:t>浑江区文化和旅游局、江源区文化广播电视和旅游局：</w:t>
      </w:r>
    </w:p>
    <w:p>
      <w:pPr>
        <w:rPr>
          <w:rFonts w:ascii="仿宋" w:eastAsia="仿宋" w:hint="eastAsia"/>
          <w:sz w:val="32"/>
          <w:szCs w:val="32"/>
        </w:rPr>
      </w:pPr>
      <w:r>
        <w:rPr>
          <w:rFonts w:ascii="仿宋" w:eastAsia="仿宋" w:hint="eastAsia"/>
          <w:sz w:val="32"/>
          <w:szCs w:val="32"/>
        </w:rPr>
        <w:t>　　为加强和规范</w:t>
      </w:r>
      <w:r>
        <w:rPr>
          <w:rFonts w:ascii="仿宋" w:eastAsia="仿宋"/>
          <w:sz w:val="32"/>
          <w:szCs w:val="32"/>
        </w:rPr>
        <w:t>我市（市本级含两区）</w:t>
      </w:r>
      <w:r>
        <w:rPr>
          <w:rFonts w:ascii="仿宋" w:eastAsia="仿宋" w:hint="eastAsia"/>
          <w:sz w:val="32"/>
          <w:szCs w:val="32"/>
        </w:rPr>
        <w:t>国有文物资源资产管理，保障国有文物资源资产安全完整、有效保护和合理利用，根据</w:t>
      </w:r>
      <w:r>
        <w:rPr>
          <w:rFonts w:ascii="仿宋" w:eastAsia="仿宋"/>
          <w:sz w:val="32"/>
          <w:szCs w:val="32"/>
        </w:rPr>
        <w:t>《吉林省国有文物资源资产管理实施办法》</w:t>
      </w:r>
      <w:r>
        <w:rPr>
          <w:rFonts w:ascii="仿宋" w:eastAsia="仿宋" w:hint="eastAsia"/>
          <w:sz w:val="32"/>
          <w:szCs w:val="32"/>
        </w:rPr>
        <w:t>规定，</w:t>
      </w:r>
      <w:r>
        <w:rPr>
          <w:rFonts w:ascii="仿宋" w:eastAsia="仿宋"/>
          <w:sz w:val="32"/>
          <w:szCs w:val="32"/>
        </w:rPr>
        <w:t>市</w:t>
      </w:r>
      <w:r>
        <w:rPr>
          <w:rFonts w:ascii="仿宋" w:eastAsia="仿宋" w:hint="eastAsia"/>
          <w:sz w:val="32"/>
          <w:szCs w:val="32"/>
        </w:rPr>
        <w:t>财政</w:t>
      </w:r>
      <w:r>
        <w:rPr>
          <w:rFonts w:ascii="仿宋" w:eastAsia="仿宋"/>
          <w:sz w:val="32"/>
          <w:szCs w:val="32"/>
        </w:rPr>
        <w:t>局</w:t>
      </w:r>
      <w:r>
        <w:rPr>
          <w:rFonts w:ascii="仿宋" w:eastAsia="仿宋" w:hint="eastAsia"/>
          <w:sz w:val="32"/>
          <w:szCs w:val="32"/>
        </w:rPr>
        <w:t>、</w:t>
      </w:r>
      <w:r>
        <w:rPr>
          <w:rFonts w:ascii="仿宋" w:eastAsia="仿宋"/>
          <w:sz w:val="32"/>
          <w:szCs w:val="32"/>
        </w:rPr>
        <w:t>市文广旅</w:t>
      </w:r>
      <w:r>
        <w:rPr>
          <w:rFonts w:ascii="仿宋" w:eastAsia="仿宋" w:hint="eastAsia"/>
          <w:sz w:val="32"/>
          <w:szCs w:val="32"/>
        </w:rPr>
        <w:t>局研究制定了《</w:t>
      </w:r>
      <w:r>
        <w:rPr>
          <w:rFonts w:ascii="仿宋" w:eastAsia="仿宋"/>
          <w:sz w:val="32"/>
          <w:szCs w:val="32"/>
        </w:rPr>
        <w:t>白山市</w:t>
      </w:r>
      <w:r>
        <w:rPr>
          <w:rFonts w:ascii="仿宋" w:eastAsia="仿宋" w:hint="eastAsia"/>
          <w:sz w:val="32"/>
          <w:szCs w:val="32"/>
        </w:rPr>
        <w:t>国有文物资源资产管理办法》，现印发给你们，请遵照执行。</w:t>
      </w:r>
    </w:p>
    <w:p>
      <w:pPr>
        <w:ind w:firstLine="629"/>
        <w:rPr>
          <w:rFonts w:ascii="仿宋" w:eastAsia="仿宋"/>
          <w:sz w:val="32"/>
          <w:szCs w:val="32"/>
        </w:rPr>
      </w:pPr>
      <w:r>
        <w:rPr>
          <w:rFonts w:ascii="仿宋" w:eastAsia="仿宋" w:hint="eastAsia"/>
          <w:sz w:val="32"/>
          <w:szCs w:val="32"/>
        </w:rPr>
        <w:t>附件：</w:t>
      </w:r>
      <w:r>
        <w:rPr>
          <w:rFonts w:ascii="仿宋" w:eastAsia="仿宋"/>
          <w:sz w:val="32"/>
          <w:szCs w:val="32"/>
        </w:rPr>
        <w:t>白山市</w:t>
      </w:r>
      <w:r>
        <w:rPr>
          <w:rFonts w:ascii="仿宋" w:eastAsia="仿宋" w:hint="eastAsia"/>
          <w:sz w:val="32"/>
          <w:szCs w:val="32"/>
        </w:rPr>
        <w:t>国有文物资源资产管理办法</w:t>
      </w:r>
    </w:p>
    <w:p>
      <w:pPr>
        <w:ind w:firstLine="629"/>
        <w:rPr>
          <w:rFonts w:ascii="仿宋" w:eastAsia="仿宋"/>
          <w:sz w:val="32"/>
          <w:szCs w:val="32"/>
        </w:rPr>
      </w:pPr>
    </w:p>
    <w:p>
      <w:pPr>
        <w:ind w:firstLine="629"/>
        <w:rPr>
          <w:rFonts w:ascii="仿宋" w:eastAsia="仿宋"/>
          <w:sz w:val="32"/>
          <w:szCs w:val="32"/>
        </w:rPr>
      </w:pPr>
    </w:p>
    <w:p>
      <w:pPr>
        <w:ind w:firstLine="629"/>
        <w:rPr>
          <w:rFonts w:ascii="仿宋" w:eastAsia="仿宋"/>
          <w:sz w:val="32"/>
          <w:szCs w:val="32"/>
        </w:rPr>
      </w:pPr>
    </w:p>
    <w:p>
      <w:pPr>
        <w:ind w:firstLine="629"/>
        <w:rPr>
          <w:rFonts w:ascii="仿宋" w:eastAsia="仿宋"/>
          <w:sz w:val="32"/>
          <w:szCs w:val="32"/>
        </w:rPr>
      </w:pPr>
    </w:p>
    <w:p>
      <w:pPr>
        <w:ind w:firstLine="629"/>
        <w:rPr>
          <w:rFonts w:ascii="仿宋" w:eastAsia="仿宋" w:hint="eastAsia"/>
          <w:sz w:val="32"/>
          <w:szCs w:val="32"/>
        </w:rPr>
      </w:pPr>
    </w:p>
    <w:p>
      <w:pPr>
        <w:pBdr>
          <w:top w:val="none" w:sz="0" w:space="0" w:color="auto"/>
          <w:left w:val="none" w:sz="0" w:space="0" w:color="auto"/>
          <w:bottom w:val="none" w:sz="0" w:space="0" w:color="auto"/>
          <w:right w:val="none" w:sz="0" w:space="0" w:color="auto"/>
        </w:pBdr>
        <w:ind w:firstLineChars="100" w:firstLine="320"/>
        <w:jc w:val="both"/>
        <w:rPr>
          <w:rFonts w:ascii="仿宋" w:eastAsia="仿宋" w:hint="eastAsia"/>
          <w:vanish w:val="0"/>
          <w:sz w:val="32"/>
          <w:szCs w:val="32"/>
        </w:rPr>
      </w:pPr>
      <w:r>
        <w:rPr>
          <w:rFonts w:ascii="仿宋" w:eastAsia="仿宋"/>
          <w:vanish w:val="0"/>
          <w:sz w:val="32"/>
          <w:szCs w:val="32"/>
        </w:rPr>
        <w:t>白山市财政局</w:t>
      </w:r>
      <w:r>
        <w:rPr>
          <w:rFonts w:ascii="仿宋" w:eastAsia="仿宋" w:hint="eastAsia"/>
          <w:vanish w:val="0"/>
          <w:sz w:val="32"/>
          <w:szCs w:val="32"/>
        </w:rPr>
        <w:t> </w:t>
      </w:r>
      <w:r>
        <w:rPr>
          <w:rFonts w:ascii="仿宋" w:eastAsia="仿宋"/>
          <w:vanish w:val="0"/>
          <w:sz w:val="32"/>
          <w:szCs w:val="32"/>
        </w:rPr>
        <w:t xml:space="preserve">           </w:t>
      </w:r>
      <w:r>
        <w:rPr>
          <w:rFonts w:ascii="仿宋" w:eastAsia="仿宋" w:hint="eastAsia"/>
          <w:vanish w:val="0"/>
          <w:sz w:val="32"/>
          <w:szCs w:val="32"/>
        </w:rPr>
        <w:t> </w:t>
      </w:r>
      <w:r>
        <w:rPr>
          <w:rFonts w:ascii="仿宋" w:eastAsia="仿宋"/>
          <w:vanish w:val="0"/>
          <w:sz w:val="32"/>
          <w:szCs w:val="32"/>
        </w:rPr>
        <w:t>白山市文化广播电视和旅游局</w:t>
      </w:r>
    </w:p>
    <w:p>
      <w:pPr>
        <w:ind w:firstLineChars="1700" w:firstLine="5440"/>
        <w:rPr>
          <w:rFonts w:ascii="仿宋" w:eastAsia="仿宋" w:hint="eastAsia"/>
          <w:sz w:val="32"/>
          <w:szCs w:val="32"/>
        </w:rPr>
      </w:pPr>
      <w:r>
        <w:rPr>
          <w:rFonts w:ascii="仿宋" w:eastAsia="仿宋" w:hint="eastAsia"/>
          <w:vanish w:val="0"/>
          <w:sz w:val="32"/>
          <w:szCs w:val="32"/>
        </w:rPr>
        <w:t>202</w:t>
      </w:r>
      <w:r>
        <w:rPr>
          <w:rFonts w:ascii="仿宋" w:eastAsia="仿宋"/>
          <w:vanish w:val="0"/>
          <w:sz w:val="32"/>
          <w:szCs w:val="32"/>
        </w:rPr>
        <w:t>4</w:t>
      </w:r>
      <w:r>
        <w:rPr>
          <w:rFonts w:ascii="仿宋" w:eastAsia="仿宋" w:hint="eastAsia"/>
          <w:vanish w:val="0"/>
          <w:sz w:val="32"/>
          <w:szCs w:val="32"/>
        </w:rPr>
        <w:t>年</w:t>
      </w:r>
      <w:r>
        <w:rPr>
          <w:rFonts w:ascii="仿宋" w:eastAsia="仿宋"/>
          <w:vanish w:val="0"/>
          <w:sz w:val="32"/>
          <w:szCs w:val="32"/>
        </w:rPr>
        <w:t>5</w:t>
      </w:r>
      <w:r>
        <w:rPr>
          <w:rFonts w:ascii="仿宋" w:eastAsia="仿宋" w:hint="eastAsia"/>
          <w:vanish w:val="0"/>
          <w:sz w:val="32"/>
          <w:szCs w:val="32"/>
        </w:rPr>
        <w:t>月</w:t>
      </w:r>
      <w:r>
        <w:rPr>
          <w:rFonts w:ascii="仿宋" w:eastAsia="仿宋"/>
          <w:vanish w:val="0"/>
          <w:sz w:val="32"/>
          <w:szCs w:val="32"/>
        </w:rPr>
        <w:t>30</w:t>
      </w:r>
      <w:r>
        <w:rPr>
          <w:rFonts w:ascii="仿宋" w:eastAsia="仿宋" w:hint="eastAsia"/>
          <w:vanish w:val="0"/>
          <w:sz w:val="32"/>
          <w:szCs w:val="32"/>
        </w:rPr>
        <w:t>日</w:t>
      </w:r>
    </w:p>
    <w:p>
      <w:pPr>
        <w:pStyle w:val="15"/>
        <w:ind w:left="0" w:firstLine="0"/>
        <w:rPr>
          <w:rFonts w:ascii="黑体" w:eastAsia="黑体" w:cs="仿宋"/>
          <w:color w:val="auto"/>
          <w:kern w:val="0"/>
          <w:sz w:val="28"/>
          <w:szCs w:val="28"/>
        </w:rPr>
      </w:pPr>
    </w:p>
    <w:p>
      <w:pPr>
        <w:pStyle w:val="15"/>
        <w:ind w:left="0" w:firstLine="0"/>
        <w:rPr>
          <w:rFonts w:ascii="黑体" w:eastAsia="黑体" w:cs="仿宋"/>
          <w:color w:val="auto"/>
          <w:kern w:val="0"/>
          <w:sz w:val="28"/>
          <w:szCs w:val="28"/>
        </w:rPr>
      </w:pPr>
    </w:p>
    <w:p>
      <w:pPr>
        <w:pStyle w:val="15"/>
        <w:ind w:left="0" w:firstLine="0"/>
        <w:rPr>
          <w:rFonts w:ascii="黑体" w:eastAsia="黑体" w:cs="仿宋"/>
          <w:color w:val="auto"/>
          <w:kern w:val="0"/>
          <w:sz w:val="28"/>
          <w:szCs w:val="28"/>
        </w:rPr>
      </w:pPr>
    </w:p>
    <w:p>
      <w:pPr>
        <w:pStyle w:val="15"/>
        <w:ind w:left="0" w:firstLine="0"/>
        <w:rPr>
          <w:rFonts w:ascii="黑体" w:eastAsia="黑体" w:cs="仿宋"/>
          <w:color w:val="auto"/>
          <w:kern w:val="0"/>
          <w:sz w:val="28"/>
          <w:szCs w:val="28"/>
        </w:rPr>
      </w:pPr>
    </w:p>
    <w:p>
      <w:pPr>
        <w:spacing w:line="560" w:lineRule="exact"/>
        <w:ind w:right="1280"/>
        <w:rPr>
          <w:rFonts w:ascii="宋体" w:eastAsia="宋体" w:cs="仿宋_GB2312" w:hint="eastAsia"/>
          <w:sz w:val="32"/>
          <w:szCs w:val="40"/>
          <w:lang w:eastAsia="zh-CN" w:bidi="ar-SA"/>
        </w:rPr>
      </w:pPr>
      <w:bookmarkStart w:id="0" w:name="_GoBack"/>
      <w:bookmarkEnd w:id="0"/>
      <w:r>
        <w:rPr>
          <w:rFonts w:ascii="宋体" w:cs="仿宋_GB2312" w:hAnsi="宋体" w:hint="eastAsia"/>
          <w:sz w:val="32"/>
          <w:szCs w:val="40"/>
          <w:lang w:bidi="ar-SA"/>
        </w:rPr>
        <w:t>信息公开选项：</w:t>
      </w:r>
      <w:r>
        <w:rPr>
          <w:rFonts w:ascii="宋体" w:cs="仿宋_GB2312" w:hAnsi="宋体"/>
          <w:sz w:val="32"/>
          <w:szCs w:val="40"/>
          <w:lang w:eastAsia="zh-CN" w:bidi="ar-SA"/>
        </w:rPr>
        <w:t>主动</w:t>
      </w:r>
      <w:r>
        <w:rPr>
          <w:rFonts w:ascii="宋体" w:cs="仿宋_GB2312" w:hAnsi="宋体" w:hint="eastAsia"/>
          <w:sz w:val="32"/>
          <w:szCs w:val="40"/>
          <w:lang w:val="en-US" w:eastAsia="zh-CN" w:bidi="ar-SA"/>
        </w:rPr>
        <w:t>公开</w:t>
      </w:r>
    </w:p>
    <w:p>
      <w:pPr>
        <w:spacing w:line="560" w:lineRule="exact"/>
        <w:ind w:left="0" w:right="23"/>
        <w:rPr>
          <w:rFonts w:ascii="仿宋_GB2312" w:eastAsia="仿宋_GB2312" w:cs="仿宋_GB2312" w:hint="eastAsia"/>
          <w:sz w:val="32"/>
          <w:szCs w:val="40"/>
          <w:lang w:val="en-US" w:eastAsia="zh-CN" w:bidi="ar-SA"/>
        </w:rPr>
      </w:pPr>
      <w:r>
        <w:rPr>
          <w:rFonts w:ascii="仿宋_GB2312" w:eastAsia="仿宋_GB2312" w:cs="仿宋_GB2312" w:hint="eastAsia"/>
          <w:sz w:val="32"/>
          <w:szCs w:val="40"/>
          <w:lang w:val="en-US" w:bidi="ar-SA"/>
        </w:rPr>
        <mc:AlternateContent>
          <mc:Choice Requires="wps">
            <w:drawing>
              <wp:anchor distT="0" distB="0" distL="114298" distR="114298" simplePos="0" relativeHeight="28" behindDoc="0" locked="0" layoutInCell="1" hidden="0" allowOverlap="1">
                <wp:simplePos x="0" y="0"/>
                <wp:positionH relativeFrom="column">
                  <wp:posOffset>29908</wp:posOffset>
                </wp:positionH>
                <wp:positionV relativeFrom="paragraph">
                  <wp:posOffset>20287</wp:posOffset>
                </wp:positionV>
                <wp:extent cx="5800724" cy="0"/>
                <wp:effectExtent l="0" t="0" r="0" b="0"/>
                <wp:wrapNone/>
                <wp:docPr id="10" name="直接连接符 2"/>
                <wp:cNvGraphicFramePr>
                  <a:graphicFrameLocks noChangeAspect="0"/>
                </wp:cNvGraphicFramePr>
                <a:graphic>
                  <a:graphicData uri="http://schemas.microsoft.com/office/word/2010/wordprocessingShape">
                    <wps:wsp>
                      <wps:cNvSpPr/>
                      <wps:spPr>
                        <a:xfrm rot="0">
                          <a:off x="0" y="0"/>
                          <a:ext cx="5800724" cy="0"/>
                        </a:xfrm>
                        <a:prstGeom prst="line"/>
                        <a:noFill/>
                        <a:ln w="222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接连接符 2 11" o:spid="_x0000_s11" from="2.3549638pt,1.5974793pt" to="459.10492pt,1.5974793pt" filled="f" stroked="t" strokeweight="1.75pt" style="position:absolute;z-index:28;mso-position-horizontal:absolute;mso-position-vertical:absolute;mso-wrap-distance-left:8.999863pt;mso-wrap-distance-right:8.999863pt;visibility:visible;">
                <v:stroke color="#000000"/>
              </v:line>
            </w:pict>
          </mc:Fallback>
        </mc:AlternateContent>
      </w:r>
      <w:r>
        <w:rPr>
          <w:rFonts w:ascii="仿宋_GB2312" w:eastAsia="仿宋_GB2312" w:cs="仿宋_GB2312" w:hint="eastAsia"/>
          <w:sz w:val="32"/>
          <w:szCs w:val="40"/>
          <w:lang w:val="en-US" w:eastAsia="zh-CN" w:bidi="ar-SA"/>
        </w:rPr>
        <w:t>主</w:t>
      </w:r>
      <w:r>
        <w:rPr>
          <w:rFonts w:ascii="仿宋_GB2312" w:eastAsia="仿宋_GB2312" w:cs="仿宋_GB2312" w:hint="eastAsia"/>
          <w:sz w:val="32"/>
          <w:szCs w:val="40"/>
          <w:lang w:bidi="ar-SA"/>
        </w:rPr>
        <w:t>送：</w:t>
      </w:r>
      <w:r>
        <w:rPr>
          <w:rFonts w:ascii="仿宋" w:eastAsia="仿宋"/>
          <w:sz w:val="32"/>
          <w:szCs w:val="32"/>
        </w:rPr>
        <w:t>浑江区财政局、江源区财政局</w:t>
      </w:r>
      <w:r>
        <w:rPr>
          <w:rFonts w:ascii="仿宋" w:eastAsia="仿宋" w:hint="eastAsia"/>
          <w:sz w:val="32"/>
          <w:szCs w:val="32"/>
        </w:rPr>
        <w:t>、</w:t>
      </w:r>
      <w:r>
        <w:rPr>
          <w:rFonts w:ascii="仿宋" w:eastAsia="仿宋"/>
          <w:sz w:val="32"/>
          <w:szCs w:val="32"/>
        </w:rPr>
        <w:t>浑江区文化和旅游局、江源区文化广播电视和旅游局</w:t>
      </w:r>
    </w:p>
    <w:p>
      <w:pPr>
        <w:spacing w:line="560" w:lineRule="exact"/>
        <w:ind w:firstLineChars="100" w:firstLine="320"/>
        <w:jc w:val="left"/>
        <w:rPr>
          <w:rFonts w:ascii="仿宋_GB2312" w:eastAsia="仿宋_GB2312" w:cs="仿宋_GB2312"/>
          <w:sz w:val="32"/>
          <w:szCs w:val="40"/>
          <w:lang w:bidi="ar-SA"/>
        </w:rPr>
      </w:pPr>
      <w:r>
        <w:rPr>
          <w:rFonts w:ascii="仿宋_GB2312" w:eastAsia="仿宋_GB2312" w:cs="仿宋_GB2312" w:hint="eastAsia"/>
          <w:sz w:val="32"/>
          <w:szCs w:val="40"/>
          <w:lang w:bidi="ar-SA"/>
        </w:rPr>
        <mc:AlternateContent>
          <mc:Choice Requires="wps">
            <w:drawing>
              <wp:anchor distT="0" distB="0" distL="114298" distR="114298" simplePos="0" relativeHeight="30" behindDoc="0" locked="0" layoutInCell="1" hidden="0" allowOverlap="1">
                <wp:simplePos x="0" y="0"/>
                <wp:positionH relativeFrom="column">
                  <wp:posOffset>29908</wp:posOffset>
                </wp:positionH>
                <wp:positionV relativeFrom="paragraph">
                  <wp:posOffset>45719</wp:posOffset>
                </wp:positionV>
                <wp:extent cx="5800724" cy="0"/>
                <wp:effectExtent l="0" t="0" r="0" b="0"/>
                <wp:wrapNone/>
                <wp:docPr id="12" name="直接连接符 3"/>
                <wp:cNvGraphicFramePr>
                  <a:graphicFrameLocks noChangeAspect="0"/>
                </wp:cNvGraphicFramePr>
                <a:graphic>
                  <a:graphicData uri="http://schemas.microsoft.com/office/word/2010/wordprocessingShape">
                    <wps:wsp>
                      <wps:cNvSpPr/>
                      <wps:spPr>
                        <a:xfrm rot="0">
                          <a:off x="0" y="0"/>
                          <a:ext cx="5800724" cy="0"/>
                        </a:xfrm>
                        <a:prstGeom prst="line"/>
                        <a:noFill/>
                        <a:ln w="95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接连接符 3 13" o:spid="_x0000_s13" from="2.3549638pt,3.599936pt" to="459.10492pt,3.599936pt" filled="f" stroked="t" style="position:absolute;z-index:30;mso-position-horizontal:absolute;mso-position-vertical:absolute;mso-wrap-distance-left:8.999863pt;mso-wrap-distance-right:8.999863pt;visibility:visible;">
                <v:stroke color="#000000"/>
              </v:line>
            </w:pict>
          </mc:Fallback>
        </mc:AlternateContent>
      </w:r>
      <w:r>
        <w:rPr>
          <w:rFonts w:ascii="仿宋_GB2312" w:eastAsia="仿宋_GB2312" w:cs="仿宋_GB2312" w:hint="eastAsia"/>
          <w:sz w:val="32"/>
          <w:szCs w:val="40"/>
          <w:lang w:bidi="ar-SA"/>
        </w:rPr>
        <mc:AlternateContent>
          <mc:Choice Requires="wps">
            <w:drawing>
              <wp:anchor distT="0" distB="0" distL="114298" distR="114298" simplePos="0" relativeHeight="26" behindDoc="0" locked="0" layoutInCell="1" hidden="0" allowOverlap="1">
                <wp:simplePos x="0" y="0"/>
                <wp:positionH relativeFrom="column">
                  <wp:posOffset>29908</wp:posOffset>
                </wp:positionH>
                <wp:positionV relativeFrom="paragraph">
                  <wp:posOffset>426713</wp:posOffset>
                </wp:positionV>
                <wp:extent cx="5800724" cy="0"/>
                <wp:effectExtent l="0" t="0" r="0" b="0"/>
                <wp:wrapNone/>
                <wp:docPr id="14" name="直接连接符 1"/>
                <wp:cNvGraphicFramePr>
                  <a:graphicFrameLocks noChangeAspect="0"/>
                </wp:cNvGraphicFramePr>
                <a:graphic>
                  <a:graphicData uri="http://schemas.microsoft.com/office/word/2010/wordprocessingShape">
                    <wps:wsp>
                      <wps:cNvSpPr/>
                      <wps:spPr>
                        <a:xfrm rot="0">
                          <a:off x="0" y="0"/>
                          <a:ext cx="5800724" cy="0"/>
                        </a:xfrm>
                        <a:prstGeom prst="line"/>
                        <a:noFill/>
                        <a:ln w="222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接连接符 1 15" o:spid="_x0000_s15" from="2.3549638pt,33.59948pt" to="459.10492pt,33.59948pt" filled="f" stroked="t" strokeweight="1.75pt" style="position:absolute;z-index:26;mso-position-horizontal:absolute;mso-position-vertical:absolute;mso-wrap-distance-left:8.999863pt;mso-wrap-distance-right:8.999863pt;visibility:visible;">
                <v:stroke color="#000000"/>
              </v:line>
            </w:pict>
          </mc:Fallback>
        </mc:AlternateContent>
      </w:r>
      <w:r>
        <w:rPr>
          <w:rFonts w:ascii="仿宋_GB2312" w:eastAsia="仿宋_GB2312" w:cs="仿宋_GB2312" w:hint="eastAsia"/>
          <w:sz w:val="32"/>
          <w:szCs w:val="40"/>
          <w:lang w:bidi="ar-SA"/>
        </w:rPr>
        <w:t>白山市财政局</w:t>
      </w:r>
      <w:r>
        <w:rPr>
          <w:rFonts w:ascii="仿宋_GB2312" w:eastAsia="仿宋_GB2312" w:cs="仿宋_GB2312" w:hint="eastAsia"/>
          <w:sz w:val="32"/>
          <w:szCs w:val="40"/>
          <w:lang w:val="en-US" w:eastAsia="zh-CN" w:bidi="ar-SA"/>
        </w:rPr>
        <w:t xml:space="preserve">办公室  </w:t>
      </w:r>
      <w:r>
        <w:rPr>
          <w:rFonts w:ascii="仿宋_GB2312" w:eastAsia="仿宋_GB2312" w:cs="仿宋_GB2312" w:hint="eastAsia"/>
          <w:sz w:val="32"/>
          <w:szCs w:val="40"/>
          <w:lang w:bidi="ar-SA"/>
        </w:rPr>
        <w:tab/>
        <w:tab/>
        <w:tab/>
        <w:t xml:space="preserve">       2024年</w:t>
      </w:r>
      <w:r>
        <w:rPr>
          <w:rFonts w:ascii="仿宋_GB2312" w:eastAsia="仿宋_GB2312" w:cs="仿宋_GB2312"/>
          <w:sz w:val="32"/>
          <w:szCs w:val="40"/>
          <w:lang w:bidi="ar-SA"/>
        </w:rPr>
        <w:t>5</w:t>
      </w:r>
      <w:r>
        <w:rPr>
          <w:rFonts w:ascii="仿宋_GB2312" w:eastAsia="仿宋_GB2312" w:cs="仿宋_GB2312" w:hint="eastAsia"/>
          <w:sz w:val="32"/>
          <w:szCs w:val="40"/>
          <w:lang w:bidi="ar-SA"/>
        </w:rPr>
        <w:t>月</w:t>
      </w:r>
      <w:r>
        <w:rPr>
          <w:rFonts w:ascii="仿宋_GB2312" w:eastAsia="仿宋_GB2312" w:cs="仿宋_GB2312"/>
          <w:sz w:val="32"/>
          <w:szCs w:val="40"/>
          <w:lang w:bidi="ar-SA"/>
        </w:rPr>
        <w:t>30</w:t>
      </w:r>
      <w:r>
        <w:rPr>
          <w:rFonts w:ascii="仿宋_GB2312" w:eastAsia="仿宋_GB2312" w:cs="仿宋_GB2312" w:hint="eastAsia"/>
          <w:sz w:val="32"/>
          <w:szCs w:val="40"/>
          <w:lang w:bidi="ar-SA"/>
        </w:rPr>
        <w:t xml:space="preserve">日印发 </w:t>
      </w:r>
    </w:p>
    <w:p>
      <w:pPr>
        <w:rPr>
          <w:rFonts w:ascii="CESI宋体-GB2312" w:hAnsi="CESI宋体-GB2312" w:hint="eastAsia"/>
        </w:rPr>
      </w:pPr>
      <w:r>
        <w:rPr>
          <w:rFonts w:ascii="CESI宋体-GB2312" w:hAnsi="CESI宋体-GB2312"/>
        </w:rPr>
        <w:t xml:space="preserve"> </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160" w:line="600" w:lineRule="exact"/>
        <w:ind w:firstLine="0"/>
        <w:jc w:val="center"/>
        <w:textAlignment w:val="auto"/>
        <w:rPr>
          <w:rFonts w:ascii="CESI宋体-GB2312" w:eastAsia="方正小标宋简体" w:cs="方正小标宋简体" w:hAnsi="CESI宋体-GB2312" w:hint="eastAsia"/>
          <w:color w:val="auto"/>
          <w:spacing w:val="11"/>
          <w:sz w:val="40"/>
          <w:szCs w:val="40"/>
          <w:lang w:eastAsia="zh-CN" w:bidi="ar-SA"/>
          <w:highlight w:val="auto"/>
        </w:rPr>
      </w:pPr>
      <w:r>
        <w:rPr>
          <w:rFonts w:ascii="CESI宋体-GB2312" w:eastAsia="方正小标宋简体" w:cs="方正小标宋简体" w:hAnsi="CESI宋体-GB2312"/>
          <w:color w:val="auto"/>
          <w:spacing w:val="11"/>
          <w:sz w:val="44"/>
          <w:szCs w:val="44"/>
          <w:lang w:eastAsia="zh-CN" w:bidi="ar-SA"/>
          <w:highlight w:val="auto"/>
        </w:rPr>
        <w:t>白山</w:t>
      </w:r>
      <w:r>
        <w:rPr>
          <w:rFonts w:ascii="CESI宋体-GB2312" w:eastAsia="方正小标宋简体" w:cs="方正小标宋简体" w:hAnsi="CESI宋体-GB2312" w:hint="eastAsia"/>
          <w:color w:val="auto"/>
          <w:spacing w:val="11"/>
          <w:sz w:val="44"/>
          <w:szCs w:val="44"/>
          <w:lang w:bidi="ar-SA"/>
        </w:rPr>
        <w:t>市</w:t>
      </w:r>
      <w:r>
        <w:rPr>
          <w:rFonts w:ascii="CESI宋体-GB2312" w:eastAsia="方正小标宋简体" w:cs="方正小标宋简体" w:hAnsi="CESI宋体-GB2312" w:hint="eastAsia"/>
          <w:color w:val="auto"/>
          <w:spacing w:val="11"/>
          <w:sz w:val="44"/>
          <w:szCs w:val="44"/>
          <w:lang w:bidi="ar-SA"/>
          <w:highlight w:val="auto"/>
        </w:rPr>
        <w:t>国有文物资源资产管理办法</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eastAsia="仿宋_GB2312" w:cs="仿宋_GB2312" w:hAnsi="CESI宋体-GB2312" w:hint="eastAsia"/>
          <w:b/>
          <w:bCs/>
          <w:color w:val="auto"/>
          <w:sz w:val="32"/>
          <w:szCs w:val="32"/>
          <w:lang w:bidi="ar-SA"/>
          <w:highlight w:val="auto"/>
        </w:rPr>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eastAsia="黑体" w:cs="黑体" w:hAnsi="CESI宋体-GB2312" w:hint="eastAsia"/>
          <w:color w:val="auto"/>
          <w:spacing w:val="6"/>
          <w:sz w:val="32"/>
          <w:szCs w:val="32"/>
          <w:lang w:val="en-US" w:eastAsia="zh-CN" w:bidi="ar-SA"/>
          <w:highlight w:val="auto"/>
        </w:rPr>
      </w:pPr>
      <w:r>
        <w:rPr>
          <w:rFonts w:ascii="CESI宋体-GB2312" w:eastAsia="黑体" w:cs="黑体" w:hAnsi="CESI宋体-GB2312" w:hint="eastAsia"/>
          <w:color w:val="auto"/>
          <w:spacing w:val="6"/>
          <w:sz w:val="32"/>
          <w:szCs w:val="32"/>
          <w:lang w:bidi="ar-SA"/>
          <w:highlight w:val="auto"/>
        </w:rPr>
        <w:t xml:space="preserve">第一章 </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总</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则</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第一条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为加强和规范我</w:t>
      </w:r>
      <w:r>
        <w:rPr>
          <w:rFonts w:ascii="CESI宋体-GB2312" w:eastAsia="仿宋_GB2312" w:cs="仿宋_GB2312" w:hAnsi="CESI宋体-GB2312" w:hint="eastAsia"/>
          <w:color w:val="auto"/>
          <w:spacing w:val="6"/>
          <w:sz w:val="32"/>
          <w:szCs w:val="32"/>
          <w:lang w:bidi="ar-SA"/>
        </w:rPr>
        <w:t>市</w:t>
      </w:r>
      <w:r>
        <w:rPr>
          <w:rFonts w:ascii="CESI宋体-GB2312" w:eastAsia="仿宋_GB2312" w:cs="仿宋_GB2312" w:hAnsi="CESI宋体-GB2312" w:hint="eastAsia"/>
          <w:color w:val="auto"/>
          <w:spacing w:val="6"/>
          <w:sz w:val="32"/>
          <w:szCs w:val="32"/>
          <w:lang w:bidi="ar-SA"/>
          <w:highlight w:val="auto"/>
        </w:rPr>
        <w:t>国有文物资源资产管理，保障国有文物资源资产安全完整、有效保护和合理利用，根据《</w:t>
      </w:r>
      <w:r>
        <w:rPr>
          <w:rFonts w:ascii="CESI宋体-GB2312" w:eastAsia="仿宋_GB2312" w:cs="仿宋_GB2312" w:hAnsi="CESI宋体-GB2312"/>
          <w:color w:val="auto"/>
          <w:spacing w:val="6"/>
          <w:sz w:val="32"/>
          <w:szCs w:val="32"/>
          <w:lang w:bidi="ar-SA"/>
          <w:highlight w:val="auto"/>
        </w:rPr>
        <w:t>吉林省国有文物资源资产管理实施办法</w:t>
      </w:r>
      <w:r>
        <w:rPr>
          <w:rFonts w:ascii="CESI宋体-GB2312" w:eastAsia="仿宋_GB2312" w:cs="仿宋_GB2312" w:hAnsi="CESI宋体-GB2312" w:hint="eastAsia"/>
          <w:color w:val="auto"/>
          <w:spacing w:val="6"/>
          <w:sz w:val="32"/>
          <w:szCs w:val="32"/>
          <w:lang w:bidi="ar-SA"/>
          <w:highlight w:val="auto"/>
        </w:rPr>
        <w:t>》规定，结合我</w:t>
      </w:r>
      <w:r>
        <w:rPr>
          <w:rFonts w:ascii="CESI宋体-GB2312" w:eastAsia="仿宋_GB2312" w:cs="仿宋_GB2312" w:hAnsi="CESI宋体-GB2312" w:hint="eastAsia"/>
          <w:color w:val="auto"/>
          <w:spacing w:val="6"/>
          <w:sz w:val="32"/>
          <w:szCs w:val="32"/>
          <w:lang w:bidi="ar-SA"/>
        </w:rPr>
        <w:t>市</w:t>
      </w:r>
      <w:r>
        <w:rPr>
          <w:rFonts w:ascii="CESI宋体-GB2312" w:eastAsia="仿宋_GB2312" w:cs="仿宋_GB2312" w:hAnsi="CESI宋体-GB2312" w:hint="eastAsia"/>
          <w:color w:val="auto"/>
          <w:spacing w:val="6"/>
          <w:sz w:val="32"/>
          <w:szCs w:val="32"/>
          <w:lang w:bidi="ar-SA"/>
          <w:highlight w:val="auto"/>
        </w:rPr>
        <w:t>实际</w:t>
      </w:r>
      <w:r>
        <w:rPr>
          <w:rFonts w:ascii="CESI宋体-GB2312" w:eastAsia="仿宋_GB2312" w:cs="仿宋_GB2312" w:hAnsi="CESI宋体-GB2312" w:hint="eastAsia"/>
          <w:color w:val="auto"/>
          <w:spacing w:val="6"/>
          <w:sz w:val="32"/>
          <w:szCs w:val="32"/>
          <w:lang w:eastAsia="zh-CN" w:bidi="ar-SA"/>
          <w:highlight w:val="auto"/>
        </w:rPr>
        <w:t>，</w:t>
      </w:r>
      <w:r>
        <w:rPr>
          <w:rFonts w:ascii="CESI宋体-GB2312" w:eastAsia="仿宋_GB2312" w:cs="仿宋_GB2312" w:hAnsi="CESI宋体-GB2312" w:hint="eastAsia"/>
          <w:color w:val="auto"/>
          <w:spacing w:val="6"/>
          <w:sz w:val="32"/>
          <w:szCs w:val="32"/>
          <w:lang w:bidi="ar-SA"/>
          <w:highlight w:val="auto"/>
        </w:rPr>
        <w:t>制定本办法。</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 xml:space="preserve">第二条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本办法适用于</w:t>
      </w:r>
      <w:r>
        <w:rPr>
          <w:rFonts w:ascii="CESI宋体-GB2312" w:eastAsia="仿宋_GB2312" w:cs="仿宋_GB2312" w:hAnsi="CESI宋体-GB2312"/>
          <w:color w:val="auto"/>
          <w:spacing w:val="6"/>
          <w:sz w:val="32"/>
          <w:szCs w:val="32"/>
          <w:lang w:eastAsia="zh-CN" w:bidi="ar-SA"/>
          <w:highlight w:val="auto"/>
        </w:rPr>
        <w:t>白山</w:t>
      </w:r>
      <w:r>
        <w:rPr>
          <w:rFonts w:ascii="CESI宋体-GB2312" w:eastAsia="仿宋_GB2312" w:cs="仿宋_GB2312" w:hAnsi="CESI宋体-GB2312" w:hint="eastAsia"/>
          <w:color w:val="auto"/>
          <w:spacing w:val="6"/>
          <w:sz w:val="32"/>
          <w:szCs w:val="32"/>
          <w:lang w:bidi="ar-SA"/>
        </w:rPr>
        <w:t>市</w:t>
      </w:r>
      <w:r>
        <w:rPr>
          <w:rFonts w:ascii="CESI宋体-GB2312" w:eastAsia="仿宋_GB2312" w:cs="仿宋_GB2312" w:hAnsi="CESI宋体-GB2312"/>
          <w:color w:val="auto"/>
          <w:spacing w:val="6"/>
          <w:sz w:val="32"/>
          <w:szCs w:val="32"/>
          <w:lang w:bidi="ar-SA"/>
        </w:rPr>
        <w:t>本级（含浑江区、江源区）</w:t>
      </w:r>
      <w:r>
        <w:rPr>
          <w:rFonts w:ascii="CESI宋体-GB2312" w:eastAsia="仿宋_GB2312" w:cs="仿宋_GB2312" w:hAnsi="CESI宋体-GB2312" w:hint="eastAsia"/>
          <w:color w:val="auto"/>
          <w:spacing w:val="6"/>
          <w:sz w:val="32"/>
          <w:szCs w:val="32"/>
          <w:lang w:bidi="ar-SA"/>
          <w:highlight w:val="auto"/>
        </w:rPr>
        <w:t>各级各类行政事业单位国有文物资源资产</w:t>
      </w:r>
      <w:r>
        <w:rPr>
          <w:rFonts w:ascii="CESI宋体-GB2312" w:eastAsia="仿宋_GB2312" w:cs="仿宋_GB2312" w:hAnsi="CESI宋体-GB2312" w:hint="eastAsia"/>
          <w:color w:val="auto"/>
          <w:spacing w:val="6"/>
          <w:sz w:val="32"/>
          <w:szCs w:val="32"/>
          <w:lang w:eastAsia="zh-CN" w:bidi="ar-SA"/>
          <w:highlight w:val="auto"/>
        </w:rPr>
        <w:t>的</w:t>
      </w:r>
      <w:r>
        <w:rPr>
          <w:rFonts w:ascii="CESI宋体-GB2312" w:eastAsia="仿宋_GB2312" w:cs="仿宋_GB2312" w:hAnsi="CESI宋体-GB2312" w:hint="eastAsia"/>
          <w:color w:val="auto"/>
          <w:spacing w:val="6"/>
          <w:sz w:val="32"/>
          <w:szCs w:val="32"/>
          <w:lang w:bidi="ar-SA"/>
          <w:highlight w:val="auto"/>
        </w:rPr>
        <w:t>取得、保管</w:t>
      </w:r>
      <w:r>
        <w:rPr>
          <w:rFonts w:ascii="CESI宋体-GB2312" w:eastAsia="仿宋_GB2312" w:cs="仿宋_GB2312" w:hAnsi="CESI宋体-GB2312" w:hint="eastAsia"/>
          <w:color w:val="auto"/>
          <w:spacing w:val="6"/>
          <w:sz w:val="32"/>
          <w:szCs w:val="32"/>
          <w:lang w:eastAsia="zh-CN" w:bidi="ar-SA"/>
          <w:highlight w:val="auto"/>
        </w:rPr>
        <w:t>保护</w:t>
      </w:r>
      <w:r>
        <w:rPr>
          <w:rFonts w:ascii="CESI宋体-GB2312" w:eastAsia="仿宋_GB2312" w:cs="仿宋_GB2312" w:hAnsi="CESI宋体-GB2312" w:hint="eastAsia"/>
          <w:color w:val="auto"/>
          <w:spacing w:val="6"/>
          <w:sz w:val="32"/>
          <w:szCs w:val="32"/>
          <w:lang w:bidi="ar-SA"/>
          <w:highlight w:val="auto"/>
        </w:rPr>
        <w:t>、使用、处置、报告等管理活动。</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cs="仿宋_GB2312" w:hAnsi="CESI宋体-GB2312" w:hint="eastAsia"/>
          <w:spacing w:val="6"/>
          <w:szCs w:val="32"/>
          <w:lang w:eastAsia="zh-CN" w:bidi="ar-SA"/>
          <w:highlight w:val="auto"/>
        </w:rPr>
      </w:pPr>
      <w:r>
        <w:rPr>
          <w:rFonts w:ascii="CESI宋体-GB2312" w:eastAsia="黑体" w:cs="黑体" w:hAnsi="CESI宋体-GB2312" w:hint="eastAsia"/>
          <w:color w:val="auto"/>
          <w:spacing w:val="6"/>
          <w:sz w:val="32"/>
          <w:szCs w:val="32"/>
          <w:lang w:bidi="ar-SA"/>
          <w:highlight w:val="auto"/>
        </w:rPr>
        <w:t>第三条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本办法所指文物资源资产</w:t>
      </w:r>
      <w:r>
        <w:rPr>
          <w:rFonts w:ascii="CESI宋体-GB2312" w:eastAsia="仿宋_GB2312" w:cs="仿宋_GB2312" w:hAnsi="CESI宋体-GB2312" w:hint="eastAsia"/>
          <w:color w:val="auto"/>
          <w:spacing w:val="6"/>
          <w:sz w:val="32"/>
          <w:szCs w:val="32"/>
          <w:lang w:eastAsia="zh-CN" w:bidi="ar-SA"/>
          <w:highlight w:val="auto"/>
        </w:rPr>
        <w:t>包括国有</w:t>
      </w:r>
      <w:r>
        <w:rPr>
          <w:rFonts w:ascii="CESI宋体-GB2312" w:eastAsia="仿宋_GB2312" w:cs="仿宋_GB2312" w:hAnsi="CESI宋体-GB2312" w:hint="eastAsia"/>
          <w:color w:val="auto"/>
          <w:spacing w:val="6"/>
          <w:sz w:val="32"/>
          <w:szCs w:val="32"/>
          <w:lang w:bidi="ar-SA"/>
          <w:highlight w:val="auto"/>
        </w:rPr>
        <w:t>不可移动文物</w:t>
      </w:r>
      <w:r>
        <w:rPr>
          <w:rFonts w:ascii="CESI宋体-GB2312" w:eastAsia="仿宋_GB2312" w:cs="仿宋_GB2312" w:hAnsi="CESI宋体-GB2312" w:hint="eastAsia"/>
          <w:color w:val="auto"/>
          <w:spacing w:val="6"/>
          <w:sz w:val="32"/>
          <w:szCs w:val="32"/>
          <w:lang w:eastAsia="zh-CN" w:bidi="ar-SA"/>
          <w:highlight w:val="auto"/>
        </w:rPr>
        <w:t>资源资产</w:t>
      </w:r>
      <w:r>
        <w:rPr>
          <w:rFonts w:ascii="CESI宋体-GB2312" w:eastAsia="仿宋_GB2312" w:cs="仿宋_GB2312" w:hAnsi="CESI宋体-GB2312" w:hint="eastAsia"/>
          <w:color w:val="auto"/>
          <w:spacing w:val="6"/>
          <w:sz w:val="32"/>
          <w:szCs w:val="32"/>
          <w:lang w:bidi="ar-SA"/>
          <w:highlight w:val="auto"/>
        </w:rPr>
        <w:t>和</w:t>
      </w:r>
      <w:r>
        <w:rPr>
          <w:rFonts w:ascii="CESI宋体-GB2312" w:eastAsia="仿宋_GB2312" w:cs="仿宋_GB2312" w:hAnsi="CESI宋体-GB2312" w:hint="eastAsia"/>
          <w:color w:val="auto"/>
          <w:spacing w:val="6"/>
          <w:sz w:val="32"/>
          <w:szCs w:val="32"/>
          <w:lang w:eastAsia="zh-CN" w:bidi="ar-SA"/>
          <w:highlight w:val="auto"/>
        </w:rPr>
        <w:t>国有</w:t>
      </w:r>
      <w:r>
        <w:rPr>
          <w:rFonts w:ascii="CESI宋体-GB2312" w:eastAsia="仿宋_GB2312" w:cs="仿宋_GB2312" w:hAnsi="CESI宋体-GB2312" w:hint="eastAsia"/>
          <w:color w:val="auto"/>
          <w:spacing w:val="6"/>
          <w:sz w:val="32"/>
          <w:szCs w:val="32"/>
          <w:lang w:bidi="ar-SA"/>
          <w:highlight w:val="auto"/>
        </w:rPr>
        <w:t>可移动文物</w:t>
      </w:r>
      <w:r>
        <w:rPr>
          <w:rFonts w:ascii="CESI宋体-GB2312" w:eastAsia="仿宋_GB2312" w:cs="仿宋_GB2312" w:hAnsi="CESI宋体-GB2312" w:hint="eastAsia"/>
          <w:color w:val="auto"/>
          <w:spacing w:val="6"/>
          <w:sz w:val="32"/>
          <w:szCs w:val="32"/>
          <w:lang w:eastAsia="zh-CN" w:bidi="ar-SA"/>
          <w:highlight w:val="auto"/>
        </w:rPr>
        <w:t>资源</w:t>
      </w:r>
      <w:r>
        <w:rPr>
          <w:rFonts w:ascii="CESI宋体-GB2312" w:cs="仿宋_GB2312" w:hAnsi="CESI宋体-GB2312" w:hint="eastAsia"/>
          <w:spacing w:val="6"/>
          <w:szCs w:val="32"/>
          <w:lang w:eastAsia="zh-CN" w:bidi="ar-SA"/>
          <w:highlight w:val="auto"/>
        </w:rPr>
        <w:t>资产</w:t>
      </w:r>
      <w:r>
        <w:rPr>
          <w:rFonts w:ascii="CESI宋体-GB2312" w:cs="仿宋_GB2312" w:hAnsi="CESI宋体-GB2312" w:hint="eastAsia"/>
          <w:spacing w:val="6"/>
          <w:szCs w:val="32"/>
          <w:lang w:bidi="ar-SA"/>
          <w:highlight w:val="auto"/>
        </w:rPr>
        <w:t>。</w:t>
      </w:r>
      <w:r>
        <w:rPr>
          <w:rFonts w:ascii="CESI宋体-GB2312" w:cs="仿宋_GB2312" w:hAnsi="CESI宋体-GB2312" w:hint="eastAsia"/>
          <w:spacing w:val="6"/>
          <w:szCs w:val="32"/>
          <w:lang w:eastAsia="zh-CN" w:bidi="ar-SA"/>
          <w:highlight w:val="auto"/>
        </w:rPr>
        <w:t>文物资源资产来源包括文物普查、考古调查、勘探和发掘、</w:t>
      </w:r>
      <w:r>
        <w:rPr>
          <w:rFonts w:ascii="CESI宋体-GB2312" w:cs="仿宋_GB2312" w:hAnsi="CESI宋体-GB2312" w:hint="eastAsia"/>
          <w:spacing w:val="6"/>
          <w:szCs w:val="32"/>
          <w:lang w:bidi="ar-SA"/>
          <w:highlight w:val="auto"/>
        </w:rPr>
        <w:t>征集、购买、调拨、捐赠、</w:t>
      </w:r>
      <w:r>
        <w:rPr>
          <w:rFonts w:ascii="CESI宋体-GB2312" w:cs="仿宋_GB2312" w:hAnsi="CESI宋体-GB2312" w:hint="eastAsia"/>
          <w:spacing w:val="6"/>
          <w:szCs w:val="32"/>
          <w:lang w:eastAsia="zh-CN" w:bidi="ar-SA"/>
          <w:highlight w:val="auto"/>
        </w:rPr>
        <w:t>依法置换</w:t>
      </w:r>
      <w:r>
        <w:rPr>
          <w:rFonts w:ascii="CESI宋体-GB2312" w:cs="仿宋_GB2312" w:hAnsi="CESI宋体-GB2312" w:hint="eastAsia"/>
          <w:spacing w:val="6"/>
          <w:szCs w:val="32"/>
          <w:lang w:bidi="ar-SA"/>
          <w:highlight w:val="auto"/>
        </w:rPr>
        <w:t>、</w:t>
      </w:r>
      <w:r>
        <w:rPr>
          <w:rFonts w:ascii="CESI宋体-GB2312" w:cs="仿宋_GB2312" w:hAnsi="CESI宋体-GB2312" w:hint="eastAsia"/>
          <w:spacing w:val="6"/>
          <w:szCs w:val="32"/>
          <w:lang w:eastAsia="zh-CN" w:bidi="ar-SA"/>
          <w:highlight w:val="auto"/>
        </w:rPr>
        <w:t>依法</w:t>
      </w:r>
      <w:r>
        <w:rPr>
          <w:rFonts w:ascii="CESI宋体-GB2312" w:cs="仿宋_GB2312" w:hAnsi="CESI宋体-GB2312" w:hint="eastAsia"/>
          <w:spacing w:val="6"/>
          <w:szCs w:val="32"/>
          <w:lang w:bidi="ar-SA"/>
          <w:highlight w:val="auto"/>
        </w:rPr>
        <w:t>接收、指定保管等方式。</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cs="仿宋_GB2312" w:hAnsi="CESI宋体-GB2312" w:hint="eastAsia"/>
          <w:spacing w:val="6"/>
          <w:szCs w:val="32"/>
          <w:lang w:eastAsia="zh-CN" w:bidi="ar-SA"/>
          <w:highlight w:val="auto"/>
        </w:rPr>
      </w:pPr>
      <w:r>
        <w:rPr>
          <w:rFonts w:ascii="CESI宋体-GB2312" w:cs="仿宋_GB2312" w:hAnsi="CESI宋体-GB2312" w:hint="eastAsia"/>
          <w:spacing w:val="6"/>
          <w:szCs w:val="32"/>
          <w:lang w:eastAsia="zh-CN" w:bidi="ar-SA"/>
          <w:highlight w:val="auto"/>
        </w:rPr>
        <w:t>国有</w:t>
      </w:r>
      <w:r>
        <w:rPr>
          <w:rFonts w:ascii="CESI宋体-GB2312" w:cs="仿宋_GB2312" w:hAnsi="CESI宋体-GB2312" w:hint="eastAsia"/>
          <w:spacing w:val="6"/>
          <w:szCs w:val="32"/>
          <w:lang w:bidi="ar-SA"/>
          <w:highlight w:val="auto"/>
        </w:rPr>
        <w:t>不可移动文物资源资产包括</w:t>
      </w:r>
      <w:r>
        <w:rPr>
          <w:rFonts w:ascii="CESI宋体-GB2312" w:cs="仿宋_GB2312" w:hAnsi="CESI宋体-GB2312" w:hint="eastAsia"/>
          <w:spacing w:val="6"/>
          <w:szCs w:val="32"/>
          <w:lang w:eastAsia="zh-CN" w:bidi="ar-SA"/>
          <w:highlight w:val="auto"/>
        </w:rPr>
        <w:t>古文化遗址、古墓葬、古建筑、石窟寺、石刻、壁画、近现代重要史迹和代表性建筑等。</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cs="仿宋_GB2312" w:hAnsi="CESI宋体-GB2312" w:hint="eastAsia"/>
          <w:spacing w:val="6"/>
          <w:szCs w:val="32"/>
          <w:lang w:bidi="ar-SA"/>
          <w:highlight w:val="auto"/>
        </w:rPr>
      </w:pPr>
      <w:r>
        <w:rPr>
          <w:rFonts w:ascii="CESI宋体-GB2312" w:cs="仿宋_GB2312" w:hAnsi="CESI宋体-GB2312" w:hint="eastAsia"/>
          <w:spacing w:val="6"/>
          <w:szCs w:val="32"/>
          <w:lang w:eastAsia="zh-CN" w:bidi="ar-SA"/>
          <w:highlight w:val="auto"/>
        </w:rPr>
        <w:t>国有</w:t>
      </w:r>
      <w:r>
        <w:rPr>
          <w:rFonts w:ascii="CESI宋体-GB2312" w:cs="仿宋_GB2312" w:hAnsi="CESI宋体-GB2312" w:hint="eastAsia"/>
          <w:spacing w:val="6"/>
          <w:szCs w:val="32"/>
          <w:lang w:bidi="ar-SA"/>
          <w:highlight w:val="auto"/>
        </w:rPr>
        <w:t>可移动文物资源资产</w:t>
      </w:r>
      <w:r>
        <w:rPr>
          <w:rFonts w:ascii="CESI宋体-GB2312" w:cs="仿宋_GB2312" w:hAnsi="CESI宋体-GB2312" w:hint="eastAsia"/>
          <w:spacing w:val="6"/>
          <w:szCs w:val="32"/>
          <w:lang w:eastAsia="zh-CN" w:bidi="ar-SA"/>
          <w:highlight w:val="auto"/>
        </w:rPr>
        <w:t>包括</w:t>
      </w:r>
      <w:r>
        <w:rPr>
          <w:rFonts w:ascii="CESI宋体-GB2312" w:cs="仿宋_GB2312" w:hAnsi="CESI宋体-GB2312" w:hint="eastAsia"/>
          <w:spacing w:val="6"/>
          <w:szCs w:val="32"/>
          <w:lang w:bidi="ar-SA"/>
          <w:highlight w:val="auto"/>
        </w:rPr>
        <w:t>历史上各时代重要实物、艺术品、</w:t>
      </w:r>
      <w:r>
        <w:rPr>
          <w:rFonts w:ascii="CESI宋体-GB2312" w:cs="仿宋_GB2312" w:hAnsi="CESI宋体-GB2312" w:hint="eastAsia"/>
          <w:spacing w:val="6"/>
          <w:szCs w:val="32"/>
          <w:lang w:eastAsia="zh-CN" w:bidi="ar-SA"/>
          <w:highlight w:val="auto"/>
        </w:rPr>
        <w:t>文献、</w:t>
      </w:r>
      <w:r>
        <w:rPr>
          <w:rFonts w:ascii="CESI宋体-GB2312" w:cs="仿宋_GB2312" w:hAnsi="CESI宋体-GB2312" w:hint="eastAsia"/>
          <w:spacing w:val="6"/>
          <w:szCs w:val="32"/>
          <w:lang w:bidi="ar-SA"/>
          <w:highlight w:val="auto"/>
        </w:rPr>
        <w:t>手稿、图书资料、代表性实物等。</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四</w:t>
      </w:r>
      <w:r>
        <w:rPr>
          <w:rFonts w:ascii="CESI宋体-GB2312" w:eastAsia="黑体" w:cs="黑体" w:hAnsi="CESI宋体-GB2312" w:hint="eastAsia"/>
          <w:color w:val="auto"/>
          <w:spacing w:val="6"/>
          <w:sz w:val="32"/>
          <w:szCs w:val="32"/>
          <w:lang w:bidi="ar-SA"/>
          <w:highlight w:val="auto"/>
        </w:rPr>
        <w:t xml:space="preserve">条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文物资源资产管理遵循保护为主、全面登记、合理利用、动态监控、分类施策、分级管理的原则。</w:t>
      </w:r>
    </w:p>
    <w:p>
      <w:pPr>
        <w:pStyle w:val="82"/>
        <w:keepNext w:val="0"/>
        <w:keepLines w:val="0"/>
        <w:pageBreakBefore w:val="0"/>
        <w:widowControl w:val="0"/>
        <w:pBdr>
          <w:top w:val="none" w:sz="0" w:space="0" w:color="auto"/>
          <w:bottom w:val="none" w:sz="0" w:space="0" w:color="auto"/>
        </w:pBdr>
        <w:bidi w:val="0"/>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jc w:val="center"/>
        <w:textAlignment w:val="auto"/>
        <w:rPr>
          <w:rFonts w:ascii="CESI宋体-GB2312" w:eastAsia="黑体" w:cs="黑体"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二</w:t>
      </w:r>
      <w:r>
        <w:rPr>
          <w:rFonts w:ascii="CESI宋体-GB2312" w:eastAsia="黑体" w:cs="黑体" w:hAnsi="CESI宋体-GB2312" w:hint="eastAsia"/>
          <w:color w:val="auto"/>
          <w:spacing w:val="6"/>
          <w:sz w:val="32"/>
          <w:szCs w:val="32"/>
          <w:lang w:bidi="ar-SA"/>
          <w:highlight w:val="auto"/>
        </w:rPr>
        <w:t xml:space="preserve">章 </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eastAsia="zh-CN" w:bidi="ar-SA"/>
          <w:highlight w:val="auto"/>
        </w:rPr>
        <w:t>职责分工</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color w:val="auto"/>
          <w:spacing w:val="6"/>
          <w:sz w:val="32"/>
          <w:szCs w:val="32"/>
          <w:lang w:val="en-US"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五</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各级财政部门、文物行政部门、其他主管部门、管理收藏单位按照职责分工承担文物资源资产登记、核算、保管保护、展示利用、信息化管理、资产报告和监督检查等工作。</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六</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val="en-US" w:eastAsia="zh-CN" w:bidi="ar-SA"/>
        </w:rPr>
        <w:t>市</w:t>
      </w:r>
      <w:r>
        <w:rPr>
          <w:rFonts w:ascii="CESI宋体-GB2312" w:eastAsia="仿宋_GB2312" w:cs="仿宋_GB2312" w:hAnsi="CESI宋体-GB2312" w:hint="eastAsia"/>
          <w:color w:val="auto"/>
          <w:spacing w:val="6"/>
          <w:sz w:val="32"/>
          <w:szCs w:val="32"/>
          <w:lang w:val="en-US" w:eastAsia="zh-CN" w:bidi="ar-SA"/>
          <w:highlight w:val="auto"/>
        </w:rPr>
        <w:t>级</w:t>
      </w:r>
      <w:r>
        <w:rPr>
          <w:rFonts w:ascii="CESI宋体-GB2312" w:eastAsia="仿宋_GB2312" w:cs="仿宋_GB2312" w:hAnsi="CESI宋体-GB2312" w:hint="eastAsia"/>
          <w:color w:val="auto"/>
          <w:spacing w:val="6"/>
          <w:sz w:val="32"/>
          <w:szCs w:val="32"/>
          <w:lang w:bidi="ar-SA"/>
          <w:highlight w:val="auto"/>
        </w:rPr>
        <w:t>财政部门会同文物行政部门</w:t>
      </w:r>
      <w:r>
        <w:rPr>
          <w:rFonts w:ascii="CESI宋体-GB2312" w:eastAsia="仿宋_GB2312" w:cs="仿宋_GB2312" w:hAnsi="CESI宋体-GB2312" w:hint="eastAsia"/>
          <w:color w:val="auto"/>
          <w:spacing w:val="6"/>
          <w:sz w:val="32"/>
          <w:szCs w:val="32"/>
          <w:lang w:eastAsia="zh-CN" w:bidi="ar-SA"/>
          <w:highlight w:val="auto"/>
        </w:rPr>
        <w:t>负责制定</w:t>
      </w:r>
      <w:r>
        <w:rPr>
          <w:rFonts w:ascii="CESI宋体-GB2312" w:eastAsia="仿宋_GB2312" w:cs="仿宋_GB2312" w:hAnsi="CESI宋体-GB2312"/>
          <w:color w:val="auto"/>
          <w:spacing w:val="6"/>
          <w:sz w:val="32"/>
          <w:szCs w:val="32"/>
          <w:lang w:eastAsia="zh-CN" w:bidi="ar-SA"/>
          <w:highlight w:val="auto"/>
        </w:rPr>
        <w:t>市本级</w:t>
      </w:r>
      <w:r>
        <w:rPr>
          <w:rFonts w:ascii="CESI宋体-GB2312" w:eastAsia="仿宋_GB2312" w:cs="仿宋_GB2312" w:hAnsi="CESI宋体-GB2312" w:hint="eastAsia"/>
          <w:color w:val="auto"/>
          <w:spacing w:val="6"/>
          <w:sz w:val="32"/>
          <w:szCs w:val="32"/>
          <w:lang w:eastAsia="zh-CN" w:bidi="ar-SA"/>
          <w:highlight w:val="auto"/>
        </w:rPr>
        <w:t>文物资源资产管理综合性制度，并</w:t>
      </w:r>
      <w:r>
        <w:rPr>
          <w:rFonts w:ascii="CESI宋体-GB2312" w:eastAsia="仿宋_GB2312" w:cs="仿宋_GB2312" w:hAnsi="CESI宋体-GB2312" w:hint="eastAsia"/>
          <w:color w:val="auto"/>
          <w:spacing w:val="6"/>
          <w:sz w:val="32"/>
          <w:szCs w:val="32"/>
          <w:lang w:bidi="ar-SA"/>
          <w:highlight w:val="auto"/>
        </w:rPr>
        <w:t>组织实施和监督检查</w:t>
      </w:r>
      <w:r>
        <w:rPr>
          <w:rFonts w:ascii="CESI宋体-GB2312" w:eastAsia="仿宋_GB2312" w:cs="仿宋_GB2312" w:hAnsi="CESI宋体-GB2312" w:hint="eastAsia"/>
          <w:color w:val="auto"/>
          <w:spacing w:val="6"/>
          <w:sz w:val="32"/>
          <w:szCs w:val="32"/>
          <w:lang w:eastAsia="zh-CN" w:bidi="ar-SA"/>
          <w:highlight w:val="auto"/>
        </w:rPr>
        <w:t>；落实文物资源资产管理情况报告制度并组织实施。</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七</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val="en-US" w:eastAsia="zh-CN" w:bidi="ar-SA"/>
        </w:rPr>
        <w:t>市</w:t>
      </w:r>
      <w:r>
        <w:rPr>
          <w:rFonts w:ascii="CESI宋体-GB2312" w:eastAsia="仿宋_GB2312" w:cs="仿宋_GB2312" w:hAnsi="CESI宋体-GB2312" w:hint="eastAsia"/>
          <w:color w:val="auto"/>
          <w:spacing w:val="6"/>
          <w:sz w:val="32"/>
          <w:szCs w:val="32"/>
          <w:lang w:val="en-US" w:eastAsia="zh-CN" w:bidi="ar-SA"/>
          <w:highlight w:val="auto"/>
        </w:rPr>
        <w:t>级</w:t>
      </w:r>
      <w:r>
        <w:rPr>
          <w:rFonts w:ascii="CESI宋体-GB2312" w:eastAsia="仿宋_GB2312" w:cs="仿宋_GB2312" w:hAnsi="CESI宋体-GB2312" w:hint="eastAsia"/>
          <w:color w:val="auto"/>
          <w:spacing w:val="6"/>
          <w:sz w:val="32"/>
          <w:szCs w:val="32"/>
          <w:lang w:bidi="ar-SA"/>
          <w:highlight w:val="auto"/>
        </w:rPr>
        <w:t>文物行政部门负责</w:t>
      </w:r>
      <w:r>
        <w:rPr>
          <w:rFonts w:ascii="CESI宋体-GB2312" w:eastAsia="仿宋_GB2312" w:cs="仿宋_GB2312" w:hAnsi="CESI宋体-GB2312" w:hint="eastAsia"/>
          <w:color w:val="auto"/>
          <w:spacing w:val="6"/>
          <w:sz w:val="32"/>
          <w:szCs w:val="32"/>
          <w:lang w:eastAsia="zh-CN" w:bidi="ar-SA"/>
          <w:highlight w:val="auto"/>
        </w:rPr>
        <w:t>制定全</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文物资源资产专业性管理制度，并组织实施和监督检查；</w:t>
      </w:r>
      <w:r>
        <w:rPr>
          <w:rFonts w:ascii="CESI宋体-GB2312" w:eastAsia="仿宋_GB2312" w:cs="仿宋_GB2312" w:hAnsi="CESI宋体-GB2312" w:hint="eastAsia"/>
          <w:color w:val="auto"/>
          <w:spacing w:val="6"/>
          <w:sz w:val="32"/>
          <w:szCs w:val="32"/>
          <w:lang w:bidi="ar-SA"/>
          <w:highlight w:val="auto"/>
        </w:rPr>
        <w:t>组织所属管理收藏单位开展文物资源资产管理工作</w:t>
      </w:r>
      <w:r>
        <w:rPr>
          <w:rFonts w:ascii="CESI宋体-GB2312" w:cs="仿宋_GB2312" w:hAnsi="CESI宋体-GB2312" w:hint="eastAsia"/>
          <w:color w:val="auto"/>
          <w:spacing w:val="6"/>
          <w:sz w:val="32"/>
          <w:szCs w:val="32"/>
          <w:lang w:eastAsia="zh-CN" w:bidi="ar-SA"/>
          <w:highlight w:val="auto"/>
        </w:rPr>
        <w:t>，</w:t>
      </w:r>
      <w:r>
        <w:rPr>
          <w:rFonts w:ascii="CESI宋体-GB2312" w:eastAsia="仿宋_GB2312" w:cs="仿宋_GB2312" w:hAnsi="CESI宋体-GB2312" w:hint="eastAsia"/>
          <w:color w:val="auto"/>
          <w:spacing w:val="6"/>
          <w:sz w:val="32"/>
          <w:szCs w:val="32"/>
          <w:lang w:eastAsia="zh-CN" w:bidi="ar-SA"/>
          <w:highlight w:val="auto"/>
        </w:rPr>
        <w:t>专项报告全</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文物资源资产管理情况。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级</w:t>
      </w:r>
      <w:r>
        <w:rPr>
          <w:rFonts w:ascii="CESI宋体-GB2312" w:eastAsia="仿宋_GB2312" w:cs="仿宋_GB2312" w:hAnsi="CESI宋体-GB2312" w:hint="eastAsia"/>
          <w:color w:val="auto"/>
          <w:spacing w:val="6"/>
          <w:sz w:val="32"/>
          <w:szCs w:val="32"/>
          <w:lang w:bidi="ar-SA"/>
          <w:highlight w:val="auto"/>
        </w:rPr>
        <w:t>其他主管部门负责组织所属管理收藏单位开展文物资源资产管理工作</w:t>
      </w:r>
      <w:r>
        <w:rPr>
          <w:rFonts w:ascii="CESI宋体-GB2312" w:eastAsia="仿宋_GB2312" w:cs="仿宋_GB2312" w:hAnsi="CESI宋体-GB2312" w:hint="eastAsia"/>
          <w:color w:val="auto"/>
          <w:spacing w:val="6"/>
          <w:sz w:val="32"/>
          <w:szCs w:val="32"/>
          <w:lang w:eastAsia="zh-CN" w:bidi="ar-SA"/>
          <w:highlight w:val="auto"/>
        </w:rPr>
        <w:t>，报告本部门文物资源资产管理情况，并</w:t>
      </w:r>
      <w:r>
        <w:rPr>
          <w:rFonts w:ascii="CESI宋体-GB2312" w:eastAsia="仿宋_GB2312" w:cs="仿宋_GB2312" w:hAnsi="CESI宋体-GB2312" w:hint="eastAsia"/>
          <w:color w:val="auto"/>
          <w:spacing w:val="6"/>
          <w:sz w:val="32"/>
          <w:szCs w:val="32"/>
          <w:lang w:bidi="ar-SA"/>
          <w:highlight w:val="auto"/>
        </w:rPr>
        <w:t>接受</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级</w:t>
      </w:r>
      <w:r>
        <w:rPr>
          <w:rFonts w:ascii="CESI宋体-GB2312" w:eastAsia="仿宋_GB2312" w:cs="仿宋_GB2312" w:hAnsi="CESI宋体-GB2312" w:hint="eastAsia"/>
          <w:color w:val="auto"/>
          <w:spacing w:val="6"/>
          <w:sz w:val="32"/>
          <w:szCs w:val="32"/>
          <w:lang w:bidi="ar-SA"/>
          <w:highlight w:val="auto"/>
        </w:rPr>
        <w:t>财政部门和文物行政部门的监督和指导。</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八</w:t>
      </w:r>
      <w:r>
        <w:rPr>
          <w:rFonts w:ascii="CESI宋体-GB2312" w:eastAsia="黑体" w:cs="黑体" w:hAnsi="CESI宋体-GB2312" w:hint="eastAsia"/>
          <w:color w:val="auto"/>
          <w:spacing w:val="6"/>
          <w:sz w:val="32"/>
          <w:szCs w:val="32"/>
          <w:lang w:bidi="ar-SA"/>
          <w:highlight w:val="auto"/>
        </w:rPr>
        <w:t>条</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级管</w:t>
      </w:r>
      <w:r>
        <w:rPr>
          <w:rFonts w:ascii="CESI宋体-GB2312" w:eastAsia="仿宋_GB2312" w:cs="仿宋_GB2312" w:hAnsi="CESI宋体-GB2312" w:hint="eastAsia"/>
          <w:color w:val="auto"/>
          <w:spacing w:val="6"/>
          <w:sz w:val="32"/>
          <w:szCs w:val="32"/>
          <w:lang w:bidi="ar-SA"/>
          <w:highlight w:val="auto"/>
        </w:rPr>
        <w:t>理收藏单位</w:t>
      </w:r>
      <w:r>
        <w:rPr>
          <w:rFonts w:ascii="CESI宋体-GB2312" w:eastAsia="仿宋_GB2312" w:cs="仿宋_GB2312" w:hAnsi="CESI宋体-GB2312" w:hint="eastAsia"/>
          <w:color w:val="auto"/>
          <w:spacing w:val="6"/>
          <w:sz w:val="32"/>
          <w:szCs w:val="32"/>
          <w:lang w:eastAsia="zh-CN" w:bidi="ar-SA"/>
          <w:highlight w:val="auto"/>
        </w:rPr>
        <w:t>根据</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级财政部门、文物行政部门的规定，制定本单位文物资源资产管理的具体办法并组织实施；</w:t>
      </w:r>
      <w:r>
        <w:rPr>
          <w:rFonts w:ascii="CESI宋体-GB2312" w:eastAsia="仿宋_GB2312" w:cs="仿宋_GB2312" w:hAnsi="CESI宋体-GB2312" w:hint="eastAsia"/>
          <w:color w:val="auto"/>
          <w:spacing w:val="6"/>
          <w:sz w:val="32"/>
          <w:szCs w:val="32"/>
          <w:lang w:bidi="ar-SA"/>
          <w:highlight w:val="auto"/>
        </w:rPr>
        <w:t>负责本单位管理、保护收藏</w:t>
      </w:r>
      <w:r>
        <w:rPr>
          <w:rFonts w:ascii="CESI宋体-GB2312" w:eastAsia="仿宋_GB2312" w:cs="仿宋_GB2312" w:hAnsi="CESI宋体-GB2312" w:hint="eastAsia"/>
          <w:color w:val="auto"/>
          <w:spacing w:val="6"/>
          <w:sz w:val="32"/>
          <w:szCs w:val="32"/>
          <w:lang w:eastAsia="zh-CN" w:bidi="ar-SA"/>
          <w:highlight w:val="auto"/>
        </w:rPr>
        <w:t>及</w:t>
      </w:r>
      <w:r>
        <w:rPr>
          <w:rFonts w:ascii="CESI宋体-GB2312" w:eastAsia="仿宋_GB2312" w:cs="仿宋_GB2312" w:hAnsi="CESI宋体-GB2312" w:hint="eastAsia"/>
          <w:color w:val="auto"/>
          <w:spacing w:val="6"/>
          <w:sz w:val="32"/>
          <w:szCs w:val="32"/>
          <w:lang w:bidi="ar-SA"/>
          <w:highlight w:val="auto"/>
        </w:rPr>
        <w:t>核算文物资源资产</w:t>
      </w:r>
      <w:r>
        <w:rPr>
          <w:rFonts w:ascii="CESI宋体-GB2312" w:eastAsia="仿宋_GB2312" w:cs="仿宋_GB2312" w:hAnsi="CESI宋体-GB2312" w:hint="eastAsia"/>
          <w:color w:val="auto"/>
          <w:spacing w:val="6"/>
          <w:sz w:val="32"/>
          <w:szCs w:val="32"/>
          <w:lang w:eastAsia="zh-CN" w:bidi="ar-SA"/>
          <w:highlight w:val="auto"/>
        </w:rPr>
        <w:t>等具体管理</w:t>
      </w:r>
      <w:r>
        <w:rPr>
          <w:rFonts w:ascii="CESI宋体-GB2312" w:eastAsia="仿宋_GB2312" w:cs="仿宋_GB2312" w:hAnsi="CESI宋体-GB2312" w:hint="eastAsia"/>
          <w:color w:val="auto"/>
          <w:spacing w:val="6"/>
          <w:sz w:val="32"/>
          <w:szCs w:val="32"/>
          <w:lang w:bidi="ar-SA"/>
          <w:highlight w:val="auto"/>
        </w:rPr>
        <w:t>工作</w:t>
      </w:r>
      <w:r>
        <w:rPr>
          <w:rFonts w:ascii="CESI宋体-GB2312" w:eastAsia="仿宋_GB2312" w:cs="仿宋_GB2312" w:hAnsi="CESI宋体-GB2312" w:hint="eastAsia"/>
          <w:color w:val="auto"/>
          <w:spacing w:val="6"/>
          <w:sz w:val="32"/>
          <w:szCs w:val="32"/>
          <w:lang w:eastAsia="zh-CN" w:bidi="ar-SA"/>
          <w:highlight w:val="auto"/>
        </w:rPr>
        <w:t>，报告本单位文物资源资产管理情况，并接受</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eastAsia="zh-CN" w:bidi="ar-SA"/>
          <w:highlight w:val="auto"/>
        </w:rPr>
        <w:t>级财政部门、文物行政部门及其他主管部门的监督和指导。</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本条所称的管理收藏单位包括</w:t>
      </w:r>
      <w:r>
        <w:rPr>
          <w:rFonts w:ascii="CESI宋体-GB2312" w:eastAsia="仿宋_GB2312" w:cs="仿宋_GB2312" w:hAnsi="CESI宋体-GB2312" w:hint="eastAsia"/>
          <w:color w:val="auto"/>
          <w:spacing w:val="6"/>
          <w:sz w:val="32"/>
          <w:szCs w:val="32"/>
          <w:lang w:eastAsia="zh-CN" w:bidi="ar-SA"/>
          <w:highlight w:val="auto"/>
        </w:rPr>
        <w:t>文物行政部门和其他主管部门所属的</w:t>
      </w:r>
      <w:r>
        <w:rPr>
          <w:rFonts w:ascii="CESI宋体-GB2312" w:eastAsia="仿宋_GB2312" w:cs="仿宋_GB2312" w:hAnsi="CESI宋体-GB2312" w:hint="eastAsia"/>
          <w:color w:val="auto"/>
          <w:spacing w:val="6"/>
          <w:sz w:val="32"/>
          <w:szCs w:val="32"/>
          <w:lang w:bidi="ar-SA"/>
          <w:highlight w:val="auto"/>
        </w:rPr>
        <w:t>博物馆（纪念馆）、图书馆、考古科研教学机构、文物管理所等</w:t>
      </w:r>
      <w:r>
        <w:rPr>
          <w:rFonts w:ascii="CESI宋体-GB2312" w:eastAsia="仿宋_GB2312" w:cs="仿宋_GB2312" w:hAnsi="CESI宋体-GB2312" w:hint="eastAsia"/>
          <w:color w:val="auto"/>
          <w:spacing w:val="6"/>
          <w:sz w:val="32"/>
          <w:szCs w:val="32"/>
          <w:lang w:eastAsia="zh-CN" w:bidi="ar-SA"/>
          <w:highlight w:val="auto"/>
        </w:rPr>
        <w:t>，</w:t>
      </w:r>
      <w:r>
        <w:rPr>
          <w:rFonts w:ascii="CESI宋体-GB2312" w:eastAsia="仿宋_GB2312" w:cs="仿宋_GB2312" w:hAnsi="CESI宋体-GB2312" w:hint="eastAsia"/>
          <w:color w:val="auto"/>
          <w:spacing w:val="6"/>
          <w:sz w:val="32"/>
          <w:szCs w:val="32"/>
          <w:lang w:bidi="ar-SA"/>
          <w:highlight w:val="auto"/>
        </w:rPr>
        <w:t>以及其他管理、收藏国有文物的单位。</w:t>
      </w:r>
      <w:r>
        <w:rPr>
          <w:rFonts w:ascii="CESI宋体-GB2312" w:eastAsia="仿宋_GB2312" w:cs="仿宋_GB2312" w:hAnsi="CESI宋体-GB2312" w:hint="eastAsia"/>
          <w:color w:val="auto"/>
          <w:spacing w:val="6"/>
          <w:sz w:val="32"/>
          <w:szCs w:val="32"/>
          <w:lang w:eastAsia="zh-CN" w:bidi="ar-SA"/>
          <w:highlight w:val="auto"/>
        </w:rPr>
        <w:t>文物资源资产的</w:t>
      </w:r>
      <w:r>
        <w:rPr>
          <w:rFonts w:ascii="CESI宋体-GB2312" w:eastAsia="仿宋_GB2312" w:cs="仿宋_GB2312" w:hAnsi="CESI宋体-GB2312" w:hint="eastAsia"/>
          <w:color w:val="auto"/>
          <w:spacing w:val="6"/>
          <w:sz w:val="32"/>
          <w:szCs w:val="32"/>
          <w:lang w:bidi="ar-SA"/>
          <w:highlight w:val="auto"/>
        </w:rPr>
        <w:t>管理收藏单位与实际使用单位不一致的，经相关文物行政部门确认后，由实际使用单位承担</w:t>
      </w:r>
      <w:r>
        <w:rPr>
          <w:rFonts w:ascii="CESI宋体-GB2312" w:eastAsia="仿宋_GB2312" w:cs="仿宋_GB2312" w:hAnsi="CESI宋体-GB2312" w:hint="eastAsia"/>
          <w:color w:val="auto"/>
          <w:spacing w:val="6"/>
          <w:sz w:val="32"/>
          <w:szCs w:val="32"/>
          <w:lang w:eastAsia="zh-CN" w:bidi="ar-SA"/>
          <w:highlight w:val="auto"/>
        </w:rPr>
        <w:t>日常管理</w:t>
      </w:r>
      <w:r>
        <w:rPr>
          <w:rFonts w:ascii="CESI宋体-GB2312" w:eastAsia="仿宋_GB2312" w:cs="仿宋_GB2312" w:hAnsi="CESI宋体-GB2312" w:hint="eastAsia"/>
          <w:color w:val="auto"/>
          <w:spacing w:val="6"/>
          <w:sz w:val="32"/>
          <w:szCs w:val="32"/>
          <w:lang w:bidi="ar-SA"/>
          <w:highlight w:val="auto"/>
        </w:rPr>
        <w:t>工作。</w:t>
      </w:r>
    </w:p>
    <w:p>
      <w:pPr>
        <w:pStyle w:val="82"/>
        <w:keepNext w:val="0"/>
        <w:keepLines w:val="0"/>
        <w:pageBreakBefore w:val="0"/>
        <w:widowControl w:val="0"/>
        <w:pBdr>
          <w:top w:val="none" w:sz="0" w:space="0" w:color="auto"/>
          <w:bottom w:val="none" w:sz="0" w:space="0" w:color="auto"/>
        </w:pBdr>
        <w:bidi w:val="0"/>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0"/>
        <w:jc w:val="center"/>
        <w:textAlignment w:val="auto"/>
        <w:rPr>
          <w:rFonts w:ascii="CESI宋体-GB2312" w:eastAsia="黑体" w:cs="黑体"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w:t>
      </w:r>
      <w:r>
        <w:rPr>
          <w:rFonts w:ascii="CESI宋体-GB2312" w:eastAsia="黑体" w:cs="黑体" w:hAnsi="CESI宋体-GB2312" w:hint="eastAsia"/>
          <w:color w:val="auto"/>
          <w:spacing w:val="6"/>
          <w:sz w:val="32"/>
          <w:szCs w:val="32"/>
          <w:lang w:bidi="ar-SA"/>
          <w:highlight w:val="auto"/>
        </w:rPr>
        <w:t xml:space="preserve">章 </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文物资源资产登录和清查</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color w:val="auto"/>
          <w:spacing w:val="6"/>
          <w:sz w:val="32"/>
          <w:szCs w:val="32"/>
          <w:lang w:bidi="ar-SA"/>
          <w:highlight w:val="auto"/>
        </w:rPr>
        <w:t>九</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管理收藏单位应当按照“谁承担管理收藏职责、由谁记账”的原则</w:t>
      </w:r>
      <w:r>
        <w:rPr>
          <w:rFonts w:ascii="CESI宋体-GB2312" w:eastAsia="仿宋_GB2312" w:cs="仿宋_GB2312" w:hAnsi="CESI宋体-GB2312" w:hint="eastAsia"/>
          <w:color w:val="auto"/>
          <w:spacing w:val="6"/>
          <w:sz w:val="32"/>
          <w:szCs w:val="32"/>
          <w:lang w:eastAsia="zh-CN" w:bidi="ar-SA"/>
          <w:highlight w:val="auto"/>
        </w:rPr>
        <w:t>，</w:t>
      </w:r>
      <w:r>
        <w:rPr>
          <w:rFonts w:ascii="CESI宋体-GB2312" w:eastAsia="仿宋_GB2312" w:cs="仿宋_GB2312" w:hAnsi="CESI宋体-GB2312" w:hint="eastAsia"/>
          <w:color w:val="auto"/>
          <w:spacing w:val="6"/>
          <w:sz w:val="32"/>
          <w:szCs w:val="32"/>
          <w:lang w:bidi="ar-SA"/>
          <w:highlight w:val="auto"/>
        </w:rPr>
        <w:t>将所管理收藏的全部文物资源资产及时、准确登记录入文物总登记账。</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shd w:val="clear" w:color="auto" w:fill="auto"/>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十</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管理收藏单位应当按照国家统一的会计制度规定进行会计核算，将成本能够可靠取得的文物资源资产及时登记入财务账</w:t>
      </w:r>
      <w:r>
        <w:rPr>
          <w:rFonts w:ascii="CESI宋体-GB2312" w:eastAsia="仿宋_GB2312" w:cs="仿宋_GB2312" w:hAnsi="CESI宋体-GB2312" w:hint="eastAsia"/>
          <w:color w:val="auto"/>
          <w:spacing w:val="6"/>
          <w:sz w:val="32"/>
          <w:szCs w:val="32"/>
          <w:lang w:eastAsia="zh-CN" w:bidi="ar-SA"/>
          <w:highlight w:val="auto"/>
        </w:rPr>
        <w:t>，确保不重不漏</w:t>
      </w:r>
      <w:r>
        <w:rPr>
          <w:rFonts w:ascii="CESI宋体-GB2312" w:eastAsia="仿宋_GB2312" w:cs="仿宋_GB2312" w:hAnsi="CESI宋体-GB2312" w:hint="eastAsia"/>
          <w:color w:val="auto"/>
          <w:spacing w:val="6"/>
          <w:sz w:val="32"/>
          <w:szCs w:val="32"/>
          <w:lang w:bidi="ar-SA"/>
          <w:highlight w:val="auto"/>
        </w:rPr>
        <w:t>。</w:t>
      </w:r>
      <w:r>
        <w:rPr>
          <w:rFonts w:ascii="CESI宋体-GB2312" w:eastAsia="仿宋_GB2312" w:cs="仿宋_GB2312" w:hAnsi="CESI宋体-GB2312" w:hint="eastAsia"/>
          <w:color w:val="auto"/>
          <w:spacing w:val="6"/>
          <w:sz w:val="32"/>
          <w:szCs w:val="32"/>
          <w:shd w:val="clear" w:color="auto" w:fill="auto"/>
          <w:lang w:bidi="ar-SA"/>
          <w:highlight w:val="auto"/>
        </w:rPr>
        <w:t>文物资源资产涉及价值增减变动的，应当及时调整相关账目。</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b/>
          <w:bCs/>
          <w:color w:val="auto"/>
          <w:spacing w:val="6"/>
          <w:sz w:val="32"/>
          <w:szCs w:val="32"/>
          <w:lang w:bidi="ar-SA"/>
          <w:highlight w:val="auto"/>
        </w:rPr>
      </w:pPr>
      <w:r>
        <w:rPr>
          <w:rFonts w:ascii="CESI宋体-GB2312" w:eastAsia="仿宋_GB2312" w:cs="仿宋_GB2312" w:hAnsi="CESI宋体-GB2312" w:hint="eastAsia"/>
          <w:color w:val="auto"/>
          <w:spacing w:val="6"/>
          <w:sz w:val="32"/>
          <w:szCs w:val="32"/>
          <w:shd w:val="clear" w:color="auto" w:fill="auto"/>
          <w:lang w:bidi="ar-SA"/>
          <w:highlight w:val="auto"/>
        </w:rPr>
        <w:t>成本无法可靠取得的文物资源资产，</w:t>
      </w:r>
      <w:r>
        <w:rPr>
          <w:rFonts w:ascii="CESI宋体-GB2312" w:eastAsia="仿宋_GB2312" w:cs="仿宋_GB2312" w:hAnsi="CESI宋体-GB2312" w:hint="eastAsia"/>
          <w:color w:val="auto"/>
          <w:spacing w:val="6"/>
          <w:sz w:val="32"/>
          <w:szCs w:val="32"/>
          <w:lang w:bidi="ar-SA"/>
          <w:highlight w:val="auto"/>
        </w:rPr>
        <w:t>应当设置备查簿进行登记，并在年度国有资产报告中体现数量，待成本可以可靠取得后，再按照国家统一的会计制度规定及时入账。</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val="en-US" w:eastAsia="zh-CN" w:bidi="ar-SA"/>
          <w:highlight w:val="auto"/>
        </w:rPr>
      </w:pPr>
      <w:r>
        <w:rPr>
          <w:rFonts w:ascii="CESI宋体-GB2312" w:eastAsia="黑体" w:cs="黑体" w:hAnsi="CESI宋体-GB2312" w:hint="eastAsia"/>
          <w:color w:val="auto"/>
          <w:spacing w:val="6"/>
          <w:sz w:val="32"/>
          <w:szCs w:val="32"/>
          <w:lang w:eastAsia="zh-CN" w:bidi="ar-SA"/>
          <w:highlight w:val="auto"/>
        </w:rPr>
        <w:t>第十一条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文物总登记账和文物资源资产财务账是文物资源资产核算和管理的重要记录，是编制文物资源资产报告和开展文物资源资产管理工作的依据。管理收藏单位应当及时、准确、全面建立文物总登记账和文物资源资产财务账，并定期进行核对，确保账账、账实相符。</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十二</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eastAsia="zh-CN" w:bidi="ar-SA"/>
          <w:highlight w:val="auto"/>
        </w:rPr>
        <w:t>管理收藏单位应当建立业务部门和财务资产管理部门协作机制，完整反映文物资源资产管理情况。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bidi="ar-SA"/>
          <w:highlight w:val="auto"/>
        </w:rPr>
        <w:t>十</w:t>
      </w:r>
      <w:r>
        <w:rPr>
          <w:rFonts w:ascii="CESI宋体-GB2312" w:eastAsia="黑体" w:cs="黑体" w:hAnsi="CESI宋体-GB2312" w:hint="eastAsia"/>
          <w:color w:val="auto"/>
          <w:spacing w:val="6"/>
          <w:sz w:val="32"/>
          <w:szCs w:val="32"/>
          <w:lang w:eastAsia="zh-CN" w:bidi="ar-SA"/>
          <w:highlight w:val="auto"/>
        </w:rPr>
        <w:t>三</w:t>
      </w:r>
      <w:r>
        <w:rPr>
          <w:rFonts w:ascii="CESI宋体-GB2312" w:eastAsia="黑体" w:cs="黑体" w:hAnsi="CESI宋体-GB2312" w:hint="eastAsia"/>
          <w:color w:val="auto"/>
          <w:spacing w:val="6"/>
          <w:sz w:val="32"/>
          <w:szCs w:val="32"/>
          <w:lang w:bidi="ar-SA"/>
          <w:highlight w:val="auto"/>
        </w:rPr>
        <w:t xml:space="preserve">条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管理收藏单位购买、征集文物资源资产，按照国家有关规定需要进行资产评估的，应当进行资产评估</w:t>
      </w:r>
      <w:r>
        <w:rPr>
          <w:rFonts w:ascii="CESI宋体-GB2312" w:eastAsia="仿宋_GB2312" w:cs="仿宋_GB2312" w:hAnsi="CESI宋体-GB2312" w:hint="eastAsia"/>
          <w:color w:val="auto"/>
          <w:spacing w:val="6"/>
          <w:sz w:val="32"/>
          <w:szCs w:val="32"/>
          <w:lang w:eastAsia="zh-CN" w:bidi="ar-SA"/>
          <w:highlight w:val="auto"/>
        </w:rPr>
        <w:t>，并</w:t>
      </w:r>
      <w:r>
        <w:rPr>
          <w:rFonts w:ascii="CESI宋体-GB2312" w:eastAsia="仿宋_GB2312" w:cs="仿宋_GB2312" w:hAnsi="CESI宋体-GB2312" w:hint="eastAsia"/>
          <w:color w:val="auto"/>
          <w:spacing w:val="6"/>
          <w:sz w:val="32"/>
          <w:szCs w:val="32"/>
          <w:lang w:bidi="ar-SA"/>
          <w:highlight w:val="auto"/>
        </w:rPr>
        <w:t>如实提供有关情况和资料，对所提供的情况和资料的客观性、真实性和合法性负责。</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十四</w:t>
      </w:r>
      <w:r>
        <w:rPr>
          <w:rFonts w:ascii="CESI宋体-GB2312" w:eastAsia="黑体" w:cs="黑体" w:hAnsi="CESI宋体-GB2312" w:hint="eastAsia"/>
          <w:color w:val="auto"/>
          <w:spacing w:val="6"/>
          <w:sz w:val="32"/>
          <w:szCs w:val="32"/>
          <w:lang w:bidi="ar-SA"/>
          <w:highlight w:val="auto"/>
        </w:rPr>
        <w:t xml:space="preserve">条 </w:t>
      </w:r>
      <w:r>
        <w:rPr>
          <w:rFonts w:ascii="CESI宋体-GB2312" w:eastAsia="仿宋_GB2312" w:cs="仿宋_GB2312" w:hAnsi="CESI宋体-GB2312" w:hint="eastAsia"/>
          <w:color w:val="auto"/>
          <w:spacing w:val="6"/>
          <w:sz w:val="32"/>
          <w:szCs w:val="32"/>
          <w:lang w:val="en-US" w:eastAsia="zh-CN" w:bidi="ar-SA"/>
          <w:highlight w:val="auto"/>
        </w:rPr>
        <w:t xml:space="preserve"> 财政部门、文物行政部门、其他主管部门、</w:t>
      </w:r>
      <w:r>
        <w:rPr>
          <w:rFonts w:ascii="CESI宋体-GB2312" w:eastAsia="仿宋_GB2312" w:cs="仿宋_GB2312" w:hAnsi="CESI宋体-GB2312" w:hint="eastAsia"/>
          <w:color w:val="auto"/>
          <w:spacing w:val="6"/>
          <w:sz w:val="32"/>
          <w:szCs w:val="32"/>
          <w:lang w:bidi="ar-SA"/>
          <w:highlight w:val="auto"/>
        </w:rPr>
        <w:t>管理收藏单位</w:t>
      </w:r>
      <w:r>
        <w:rPr>
          <w:rFonts w:ascii="CESI宋体-GB2312" w:eastAsia="仿宋_GB2312" w:cs="仿宋_GB2312" w:hAnsi="CESI宋体-GB2312" w:hint="eastAsia"/>
          <w:color w:val="auto"/>
          <w:spacing w:val="6"/>
          <w:sz w:val="32"/>
          <w:szCs w:val="32"/>
          <w:lang w:eastAsia="zh-CN" w:bidi="ar-SA"/>
          <w:highlight w:val="auto"/>
        </w:rPr>
        <w:t>可以根据工作需要开展文物资源资产清查，清查工作参照《行政事业单位资产清查核实管理办法》（财资</w:t>
      </w:r>
      <w:r>
        <w:rPr>
          <w:rFonts w:ascii="CESI宋体-GB2312" w:eastAsia="方正隶书_GBK" w:cs="方正隶书_GBK" w:hAnsi="CESI宋体-GB2312" w:hint="eastAsia"/>
          <w:color w:val="auto"/>
          <w:spacing w:val="6"/>
          <w:sz w:val="32"/>
          <w:szCs w:val="32"/>
          <w:lang w:val="en-US" w:eastAsia="zh-CN" w:bidi="ar-SA"/>
          <w:highlight w:val="auto"/>
        </w:rPr>
        <w:t>〔</w:t>
      </w:r>
      <w:r>
        <w:rPr>
          <w:rFonts w:ascii="CESI宋体-GB2312" w:eastAsia="方正隶书_GBK" w:cs="方正隶书_GBK" w:hAnsi="CESI宋体-GB2312"/>
          <w:color w:val="auto"/>
          <w:spacing w:val="6"/>
          <w:sz w:val="32"/>
          <w:szCs w:val="32"/>
          <w:lang w:val="en-US" w:eastAsia="zh-CN" w:bidi="ar-SA"/>
          <w:highlight w:val="auto"/>
        </w:rPr>
        <w:t>2016</w:t>
      </w:r>
      <w:r>
        <w:rPr>
          <w:rFonts w:ascii="CESI宋体-GB2312" w:eastAsia="方正书宋_GBK" w:cs="方正书宋_GBK" w:hAnsi="CESI宋体-GB2312" w:hint="eastAsia"/>
          <w:color w:val="auto"/>
          <w:spacing w:val="6"/>
          <w:sz w:val="32"/>
          <w:szCs w:val="32"/>
          <w:lang w:val="en-US" w:eastAsia="zh-CN" w:bidi="ar-SA"/>
          <w:highlight w:val="auto"/>
        </w:rPr>
        <w:t>〕</w:t>
      </w:r>
      <w:r>
        <w:rPr>
          <w:rFonts w:ascii="CESI宋体-GB2312" w:eastAsia="方正书宋_GBK" w:cs="方正书宋_GBK" w:hAnsi="CESI宋体-GB2312"/>
          <w:color w:val="auto"/>
          <w:spacing w:val="6"/>
          <w:sz w:val="32"/>
          <w:szCs w:val="32"/>
          <w:lang w:val="en-US" w:eastAsia="zh-CN" w:bidi="ar-SA"/>
          <w:highlight w:val="auto"/>
        </w:rPr>
        <w:t>1</w:t>
      </w:r>
      <w:r>
        <w:rPr>
          <w:rFonts w:ascii="CESI宋体-GB2312" w:eastAsia="仿宋_GB2312" w:cs="仿宋_GB2312" w:hAnsi="CESI宋体-GB2312" w:hint="eastAsia"/>
          <w:color w:val="auto"/>
          <w:spacing w:val="6"/>
          <w:sz w:val="32"/>
          <w:szCs w:val="32"/>
          <w:lang w:val="en-US" w:eastAsia="zh-CN" w:bidi="ar-SA"/>
          <w:highlight w:val="auto"/>
        </w:rPr>
        <w:t>号</w:t>
      </w:r>
      <w:r>
        <w:rPr>
          <w:rFonts w:ascii="CESI宋体-GB2312" w:eastAsia="仿宋_GB2312" w:cs="仿宋_GB2312" w:hAnsi="CESI宋体-GB2312" w:hint="eastAsia"/>
          <w:color w:val="auto"/>
          <w:spacing w:val="6"/>
          <w:sz w:val="32"/>
          <w:szCs w:val="32"/>
          <w:lang w:eastAsia="zh-CN" w:bidi="ar-SA"/>
          <w:highlight w:val="auto"/>
        </w:rPr>
        <w:t>）等相关规定执行</w:t>
      </w:r>
      <w:r>
        <w:rPr>
          <w:rFonts w:ascii="CESI宋体-GB2312" w:eastAsia="仿宋_GB2312" w:cs="仿宋_GB2312" w:hAnsi="CESI宋体-GB2312" w:hint="eastAsia"/>
          <w:color w:val="auto"/>
          <w:spacing w:val="6"/>
          <w:sz w:val="32"/>
          <w:szCs w:val="32"/>
          <w:lang w:bidi="ar-SA"/>
          <w:highlight w:val="auto"/>
        </w:rPr>
        <w:t>。</w:t>
      </w:r>
    </w:p>
    <w:p>
      <w:pPr>
        <w:keepNext w:val="0"/>
        <w:keepLines w:val="0"/>
        <w:pageBreakBefore w:val="0"/>
        <w:widowControl w:val="0"/>
        <w:pBdr>
          <w:top w:val="none" w:sz="0" w:space="0" w:color="auto"/>
          <w:bottom w:val="none" w:sz="0" w:space="0" w:color="auto"/>
        </w:pBdr>
        <w:kinsoku/>
        <w:wordWrap/>
        <w:overflowPunct w:val="0"/>
        <w:topLinePunct w:val="0"/>
        <w:autoSpaceDE/>
        <w:autoSpaceDN/>
        <w:adjustRightInd/>
        <w:snapToGrid/>
        <w:spacing w:line="596" w:lineRule="exact"/>
        <w:ind w:firstLine="641"/>
        <w:rPr>
          <w:rFonts w:ascii="CESI宋体-GB2312" w:eastAsia="仿宋_GB2312" w:cs="仿宋_GB2312" w:hAnsi="CESI宋体-GB2312"/>
          <w:color w:val="auto"/>
          <w:spacing w:val="6"/>
          <w:sz w:val="32"/>
          <w:szCs w:val="32"/>
          <w:lang w:val="en-US" w:eastAsia="zh-CN" w:bidi="ar-SA"/>
          <w:highlight w:val="auto"/>
        </w:rPr>
      </w:pPr>
      <w:r>
        <w:rPr>
          <w:rFonts w:ascii="CESI宋体-GB2312" w:eastAsia="仿宋_GB2312" w:cs="仿宋_GB2312" w:hAnsi="CESI宋体-GB2312" w:hint="eastAsia"/>
          <w:color w:val="auto"/>
          <w:spacing w:val="6"/>
          <w:sz w:val="32"/>
          <w:szCs w:val="32"/>
          <w:lang w:val="en-US" w:eastAsia="zh-CN" w:bidi="ar-SA"/>
          <w:highlight w:val="auto"/>
        </w:rPr>
        <w:t>管理收藏单位文物资源资产清查结果和相关文物资源资产核实事项，应当按照本级文物行政部门或其他主管部门的规定履行审批程序。在文物资源资产清查过程中发现账实不符、账账不符的，应当查明原因并收集相关证据材料，随同清查结果一并报文物行政部门或其他主管部门审批。管理收藏单位应当根据审批结果及时调整资产</w:t>
      </w:r>
      <w:r>
        <w:rPr>
          <w:rFonts w:ascii="CESI宋体-GB2312" w:cs="仿宋_GB2312" w:hAnsi="CESI宋体-GB2312" w:hint="eastAsia"/>
          <w:color w:val="auto"/>
          <w:spacing w:val="6"/>
          <w:sz w:val="32"/>
          <w:szCs w:val="32"/>
          <w:lang w:val="en-US" w:eastAsia="zh-CN" w:bidi="ar-SA"/>
          <w:highlight w:val="auto"/>
        </w:rPr>
        <w:t>管理</w:t>
      </w:r>
      <w:r>
        <w:rPr>
          <w:rFonts w:ascii="CESI宋体-GB2312" w:eastAsia="仿宋_GB2312" w:cs="仿宋_GB2312" w:hAnsi="CESI宋体-GB2312" w:hint="eastAsia"/>
          <w:color w:val="auto"/>
          <w:spacing w:val="6"/>
          <w:sz w:val="32"/>
          <w:szCs w:val="32"/>
          <w:lang w:val="en-US" w:eastAsia="zh-CN" w:bidi="ar-SA"/>
          <w:highlight w:val="auto"/>
        </w:rPr>
        <w:t>信息。</w:t>
      </w:r>
    </w:p>
    <w:p>
      <w:pPr>
        <w:pStyle w:val="82"/>
        <w:keepNext w:val="0"/>
        <w:keepLines w:val="0"/>
        <w:pageBreakBefore w:val="0"/>
        <w:widowControl w:val="0"/>
        <w:pBdr>
          <w:top w:val="none" w:sz="0" w:space="0" w:color="auto"/>
          <w:bottom w:val="none" w:sz="0" w:space="0" w:color="auto"/>
        </w:pBdr>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eastAsia="黑体" w:cs="黑体"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四</w:t>
      </w:r>
      <w:r>
        <w:rPr>
          <w:rFonts w:ascii="CESI宋体-GB2312" w:eastAsia="黑体" w:cs="黑体" w:hAnsi="CESI宋体-GB2312" w:hint="eastAsia"/>
          <w:color w:val="auto"/>
          <w:spacing w:val="6"/>
          <w:sz w:val="32"/>
          <w:szCs w:val="32"/>
          <w:lang w:bidi="ar-SA"/>
          <w:highlight w:val="auto"/>
        </w:rPr>
        <w:t xml:space="preserve">章 </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文物资源资产保护利用</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eastAsia="zh-CN" w:bidi="ar-SA"/>
          <w:highlight w:val="auto"/>
        </w:rPr>
        <w:t>第</w:t>
      </w:r>
      <w:r>
        <w:rPr>
          <w:rFonts w:ascii="CESI宋体-GB2312" w:eastAsia="黑体" w:cs="黑体" w:hAnsi="CESI宋体-GB2312" w:hint="eastAsia"/>
          <w:color w:val="auto"/>
          <w:spacing w:val="6"/>
          <w:sz w:val="32"/>
          <w:szCs w:val="32"/>
          <w:lang w:eastAsia="zh-CN" w:bidi="ar-SA"/>
          <w:highlight w:val="auto"/>
        </w:rPr>
        <w:t>十五</w:t>
      </w:r>
      <w:r>
        <w:rPr>
          <w:rFonts w:ascii="CESI宋体-GB2312" w:eastAsia="黑体" w:cs="黑体" w:hAnsi="CESI宋体-GB2312" w:hint="eastAsia"/>
          <w:color w:val="auto"/>
          <w:spacing w:val="6"/>
          <w:sz w:val="32"/>
          <w:szCs w:val="32"/>
          <w:lang w:eastAsia="zh-CN" w:bidi="ar-SA"/>
          <w:highlight w:val="auto"/>
        </w:rPr>
        <w:t>条</w:t>
      </w:r>
      <w:r>
        <w:rPr>
          <w:rFonts w:ascii="CESI宋体-GB2312" w:eastAsia="仿宋_GB2312" w:cs="仿宋_GB2312" w:hAnsi="CESI宋体-GB2312" w:hint="eastAsia"/>
          <w:color w:val="auto"/>
          <w:spacing w:val="6"/>
          <w:sz w:val="32"/>
          <w:szCs w:val="32"/>
          <w:lang w:bidi="ar-SA"/>
          <w:highlight w:val="auto"/>
        </w:rPr>
        <w:t xml:space="preserve">  管理收藏单位应当建立文物资源资产接收、登记、鉴定、编目、档案、安全检查等保管保护制度，可移动文物收藏单位应当建立文物库房管理、修复复制等保管保护制度，明确管理责任，完善内部管理流程。</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十六</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管理收藏单位应当按照国家文物管理的有关规定，设立规范的文物库房，配备专业设施设备，安排专职人员对文物资源资产进行登记建档、账</w:t>
      </w:r>
      <w:r>
        <w:rPr>
          <w:rFonts w:ascii="CESI宋体-GB2312" w:eastAsia="仿宋_GB2312" w:cs="仿宋_GB2312" w:hAnsi="CESI宋体-GB2312" w:hint="eastAsia"/>
          <w:color w:val="auto"/>
          <w:spacing w:val="6"/>
          <w:sz w:val="32"/>
          <w:szCs w:val="32"/>
          <w:lang w:eastAsia="zh-CN" w:bidi="ar-SA"/>
          <w:highlight w:val="auto"/>
        </w:rPr>
        <w:t>目</w:t>
      </w:r>
      <w:r>
        <w:rPr>
          <w:rFonts w:ascii="CESI宋体-GB2312" w:eastAsia="仿宋_GB2312" w:cs="仿宋_GB2312" w:hAnsi="CESI宋体-GB2312" w:hint="eastAsia"/>
          <w:color w:val="auto"/>
          <w:spacing w:val="6"/>
          <w:sz w:val="32"/>
          <w:szCs w:val="32"/>
          <w:lang w:bidi="ar-SA"/>
          <w:highlight w:val="auto"/>
        </w:rPr>
        <w:t>清点、抽样核查、日常保养维护等管理工作。</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val="en-US" w:eastAsia="zh-CN" w:bidi="ar-SA"/>
          <w:highlight w:val="auto"/>
        </w:rPr>
      </w:pPr>
      <w:r>
        <w:rPr>
          <w:rFonts w:ascii="CESI宋体-GB2312" w:eastAsia="仿宋_GB2312" w:cs="仿宋_GB2312" w:hAnsi="CESI宋体-GB2312" w:hint="eastAsia"/>
          <w:color w:val="auto"/>
          <w:spacing w:val="6"/>
          <w:sz w:val="32"/>
          <w:szCs w:val="32"/>
          <w:lang w:bidi="ar-SA"/>
          <w:highlight w:val="auto"/>
        </w:rPr>
        <w:t>管理收藏单位资产管理人员</w:t>
      </w:r>
      <w:r>
        <w:rPr>
          <w:rFonts w:ascii="CESI宋体-GB2312" w:eastAsia="仿宋_GB2312" w:cs="仿宋_GB2312" w:hAnsi="CESI宋体-GB2312" w:hint="eastAsia"/>
          <w:color w:val="auto"/>
          <w:spacing w:val="6"/>
          <w:sz w:val="32"/>
          <w:szCs w:val="32"/>
          <w:lang w:eastAsia="zh-CN" w:bidi="ar-SA"/>
          <w:highlight w:val="auto"/>
        </w:rPr>
        <w:t>发生</w:t>
      </w:r>
      <w:r>
        <w:rPr>
          <w:rFonts w:ascii="CESI宋体-GB2312" w:eastAsia="仿宋_GB2312" w:cs="仿宋_GB2312" w:hAnsi="CESI宋体-GB2312" w:hint="eastAsia"/>
          <w:color w:val="auto"/>
          <w:spacing w:val="6"/>
          <w:sz w:val="32"/>
          <w:szCs w:val="32"/>
          <w:lang w:bidi="ar-SA"/>
          <w:highlight w:val="auto"/>
        </w:rPr>
        <w:t>变更时，应</w:t>
      </w:r>
      <w:r>
        <w:rPr>
          <w:rFonts w:ascii="CESI宋体-GB2312" w:eastAsia="仿宋_GB2312" w:cs="仿宋_GB2312" w:hAnsi="CESI宋体-GB2312" w:hint="eastAsia"/>
          <w:color w:val="auto"/>
          <w:spacing w:val="6"/>
          <w:sz w:val="32"/>
          <w:szCs w:val="32"/>
          <w:lang w:eastAsia="zh-CN" w:bidi="ar-SA"/>
          <w:highlight w:val="auto"/>
        </w:rPr>
        <w:t>对</w:t>
      </w:r>
      <w:r>
        <w:rPr>
          <w:rFonts w:ascii="CESI宋体-GB2312" w:eastAsia="仿宋_GB2312" w:cs="仿宋_GB2312" w:hAnsi="CESI宋体-GB2312" w:hint="eastAsia"/>
          <w:color w:val="auto"/>
          <w:spacing w:val="6"/>
          <w:sz w:val="32"/>
          <w:szCs w:val="32"/>
          <w:lang w:bidi="ar-SA"/>
          <w:highlight w:val="auto"/>
        </w:rPr>
        <w:t>资产</w:t>
      </w:r>
      <w:r>
        <w:rPr>
          <w:rFonts w:ascii="CESI宋体-GB2312" w:eastAsia="仿宋_GB2312" w:cs="仿宋_GB2312" w:hAnsi="CESI宋体-GB2312" w:hint="eastAsia"/>
          <w:color w:val="auto"/>
          <w:spacing w:val="6"/>
          <w:sz w:val="32"/>
          <w:szCs w:val="32"/>
          <w:lang w:eastAsia="zh-CN" w:bidi="ar-SA"/>
          <w:highlight w:val="auto"/>
        </w:rPr>
        <w:t>进行</w:t>
      </w:r>
      <w:r>
        <w:rPr>
          <w:rFonts w:ascii="CESI宋体-GB2312" w:eastAsia="仿宋_GB2312" w:cs="仿宋_GB2312" w:hAnsi="CESI宋体-GB2312" w:hint="eastAsia"/>
          <w:color w:val="auto"/>
          <w:spacing w:val="6"/>
          <w:sz w:val="32"/>
          <w:szCs w:val="32"/>
          <w:lang w:bidi="ar-SA"/>
          <w:highlight w:val="auto"/>
        </w:rPr>
        <w:t>盘点并办理资产和账目移交手续。</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黑体" w:cs="黑体" w:hAnsi="CESI宋体-GB2312" w:hint="eastAsia"/>
          <w:color w:val="auto"/>
          <w:spacing w:val="6"/>
          <w:sz w:val="32"/>
          <w:szCs w:val="32"/>
          <w:lang w:val="en-US" w:eastAsia="zh-CN" w:bidi="ar-SA"/>
          <w:highlight w:val="auto"/>
        </w:rPr>
      </w:pPr>
      <w:r>
        <w:rPr>
          <w:rFonts w:ascii="CESI宋体-GB2312" w:eastAsia="黑体" w:cs="黑体" w:hAnsi="CESI宋体-GB2312" w:hint="eastAsia"/>
          <w:color w:val="auto"/>
          <w:spacing w:val="6"/>
          <w:sz w:val="32"/>
          <w:szCs w:val="32"/>
          <w:lang w:val="en-US" w:eastAsia="zh-CN" w:bidi="ar-SA"/>
          <w:highlight w:val="auto"/>
        </w:rPr>
        <w:t>第</w:t>
      </w:r>
      <w:r>
        <w:rPr>
          <w:rFonts w:ascii="CESI宋体-GB2312" w:eastAsia="黑体" w:cs="黑体" w:hAnsi="CESI宋体-GB2312" w:hint="eastAsia"/>
          <w:color w:val="auto"/>
          <w:spacing w:val="6"/>
          <w:sz w:val="32"/>
          <w:szCs w:val="32"/>
          <w:lang w:eastAsia="zh-CN" w:bidi="ar-SA"/>
          <w:highlight w:val="auto"/>
        </w:rPr>
        <w:t>十七</w:t>
      </w:r>
      <w:r>
        <w:rPr>
          <w:rFonts w:ascii="CESI宋体-GB2312" w:eastAsia="黑体" w:cs="黑体" w:hAnsi="CESI宋体-GB2312" w:hint="eastAsia"/>
          <w:color w:val="auto"/>
          <w:spacing w:val="6"/>
          <w:sz w:val="32"/>
          <w:szCs w:val="32"/>
          <w:lang w:val="en-US" w:eastAsia="zh-CN" w:bidi="ar-SA"/>
          <w:highlight w:val="auto"/>
        </w:rPr>
        <w:t xml:space="preserve">条  </w:t>
      </w:r>
      <w:r>
        <w:rPr>
          <w:rFonts w:ascii="CESI宋体-GB2312" w:eastAsia="仿宋_GB2312" w:cs="仿宋_GB2312" w:hAnsi="CESI宋体-GB2312" w:hint="eastAsia"/>
          <w:color w:val="auto"/>
          <w:spacing w:val="6"/>
          <w:sz w:val="32"/>
          <w:szCs w:val="32"/>
          <w:lang w:val="en-US" w:eastAsia="zh-CN" w:bidi="ar-SA"/>
          <w:highlight w:val="auto"/>
        </w:rPr>
        <w:t>管理收藏单位应当按照不损坏文物、不改变文物原状等要求，对文物资源资产进行保养修缮和定期维护，不得损毁、改建、添建或者拆除不可移动文物。</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0" w:beforeAutospacing="0" w:after="0" w:afterAutospacing="0" w:line="596" w:lineRule="exact"/>
        <w:ind w:left="0" w:right="0" w:firstLineChars="200" w:firstLine="664"/>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第</w:t>
      </w:r>
      <w:r>
        <w:rPr>
          <w:rFonts w:ascii="CESI宋体-GB2312" w:eastAsia="黑体" w:cs="黑体" w:hAnsi="CESI宋体-GB2312" w:hint="eastAsia"/>
          <w:color w:val="auto"/>
          <w:spacing w:val="6"/>
          <w:sz w:val="32"/>
          <w:szCs w:val="32"/>
          <w:lang w:val="en-US" w:eastAsia="zh-CN" w:bidi="ar-SA"/>
          <w:highlight w:val="auto"/>
        </w:rPr>
        <w:t>十八</w:t>
      </w:r>
      <w:r>
        <w:rPr>
          <w:rFonts w:ascii="CESI宋体-GB2312" w:eastAsia="黑体" w:cs="黑体" w:hAnsi="CESI宋体-GB2312" w:hint="eastAsia"/>
          <w:color w:val="auto"/>
          <w:spacing w:val="6"/>
          <w:kern w:val="0"/>
          <w:sz w:val="32"/>
          <w:szCs w:val="32"/>
          <w:lang w:val="en-US" w:eastAsia="zh-CN" w:bidi="ar-SA"/>
          <w:highlight w:val="auto"/>
        </w:rPr>
        <w:t>条</w:t>
      </w:r>
      <w:r>
        <w:rPr>
          <w:rFonts w:ascii="CESI宋体-GB2312" w:eastAsia="仿宋_GB2312" w:cs="仿宋_GB2312" w:hAnsi="CESI宋体-GB2312" w:hint="eastAsia"/>
          <w:color w:val="auto"/>
          <w:spacing w:val="6"/>
          <w:kern w:val="0"/>
          <w:sz w:val="32"/>
          <w:szCs w:val="32"/>
          <w:lang w:val="en-US" w:eastAsia="zh-CN" w:bidi="ar-SA"/>
          <w:highlight w:val="auto"/>
        </w:rPr>
        <w:t xml:space="preserve">  文物行政部门和其他主管部门可以通过购买服务方式对文物资源资产进行保养和修缮，承接主体应当按照购买服务合同的约定承担相应管理责任。</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60" w:beforeAutospacing="0" w:after="0" w:afterAutospacing="0" w:line="596" w:lineRule="exact"/>
        <w:ind w:left="0" w:right="0" w:firstLine="640"/>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第十九条</w:t>
      </w:r>
      <w:r>
        <w:rPr>
          <w:rFonts w:ascii="CESI宋体-GB2312" w:eastAsia="仿宋_GB2312" w:cs="仿宋_GB2312" w:hAnsi="CESI宋体-GB2312" w:hint="eastAsia"/>
          <w:color w:val="auto"/>
          <w:spacing w:val="6"/>
          <w:kern w:val="0"/>
          <w:sz w:val="32"/>
          <w:szCs w:val="32"/>
          <w:lang w:val="en-US" w:eastAsia="zh-CN" w:bidi="ar-SA"/>
          <w:highlight w:val="auto"/>
        </w:rPr>
        <w:t xml:space="preserve">  博物馆（纪念馆）、图书馆等管理收藏单位应当加强文物资源资产展示利用管理，有效盘活文物资源资产，提高文物资源资产利用效率</w:t>
      </w:r>
      <w:r>
        <w:rPr>
          <w:rFonts w:ascii="CESI宋体-GB2312" w:eastAsia="仿宋_GB2312" w:hAnsi="CESI宋体-GB2312"/>
          <w:sz w:val="32"/>
          <w:szCs w:val="32"/>
          <w:highlight w:val="auto"/>
        </w:rPr>
        <w:t>，充分发挥文物宣传教育作用，满足社会公共文化需求</w:t>
      </w:r>
      <w:r>
        <w:rPr>
          <w:rFonts w:ascii="CESI宋体-GB2312" w:eastAsia="仿宋_GB2312" w:cs="仿宋_GB2312" w:hAnsi="CESI宋体-GB2312" w:hint="eastAsia"/>
          <w:color w:val="auto"/>
          <w:spacing w:val="6"/>
          <w:kern w:val="0"/>
          <w:sz w:val="32"/>
          <w:szCs w:val="32"/>
          <w:lang w:val="en-US" w:eastAsia="zh-CN" w:bidi="ar-SA"/>
          <w:highlight w:val="auto"/>
        </w:rPr>
        <w:t>。</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60" w:beforeAutospacing="0" w:after="0" w:afterAutospacing="0" w:line="596" w:lineRule="exact"/>
        <w:ind w:left="0" w:right="0" w:firstLine="640"/>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第二十条</w:t>
      </w:r>
      <w:r>
        <w:rPr>
          <w:rFonts w:ascii="CESI宋体-GB2312" w:eastAsia="仿宋_GB2312" w:cs="仿宋_GB2312" w:hAnsi="CESI宋体-GB2312" w:hint="eastAsia"/>
          <w:color w:val="auto"/>
          <w:spacing w:val="6"/>
          <w:kern w:val="0"/>
          <w:sz w:val="32"/>
          <w:szCs w:val="32"/>
          <w:lang w:val="en-US" w:eastAsia="zh-CN" w:bidi="ar-SA"/>
          <w:highlight w:val="auto"/>
        </w:rPr>
        <w:t xml:space="preserve">  考古科研教学机构等管理收藏单位应当加强文物资源资产的科学研究和合理利用，做好文物科研标本的保管保护工作。</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60" w:beforeAutospacing="0" w:after="0" w:afterAutospacing="0" w:line="596" w:lineRule="exact"/>
        <w:ind w:left="0" w:right="0" w:firstLine="640"/>
        <w:jc w:val="both"/>
        <w:textAlignment w:val="auto"/>
        <w:rPr>
          <w:rFonts w:ascii="CESI宋体-GB2312" w:eastAsia="仿宋_GB2312" w:cs="仿宋_GB2312" w:hAnsi="CESI宋体-GB2312" w:hint="eastAsia"/>
          <w:color w:val="auto"/>
          <w:spacing w:val="6"/>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第二十一条</w:t>
      </w:r>
      <w:r>
        <w:rPr>
          <w:rFonts w:ascii="CESI宋体-GB2312" w:eastAsia="仿宋_GB2312" w:cs="仿宋_GB2312" w:hAnsi="CESI宋体-GB2312" w:hint="eastAsia"/>
          <w:color w:val="auto"/>
          <w:spacing w:val="6"/>
          <w:kern w:val="0"/>
          <w:sz w:val="32"/>
          <w:szCs w:val="32"/>
          <w:lang w:val="en-US" w:eastAsia="zh-CN" w:bidi="ar-SA"/>
          <w:highlight w:val="auto"/>
        </w:rPr>
        <w:t xml:space="preserve">  其他管理收藏单位应当做好所收藏文物资源资产的管理工作，相关文物行政部门可以安排专业人员协助。涉及文物行业管理事项，管理收藏单位应当按照文物行政部门的规定执行；涉及文物资源资产管理情况报告等事项，管理收藏单位应当按照行政和财务隶属关系报送情况。</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0" w:beforeAutospacing="0" w:after="0" w:afterAutospacing="0" w:line="596" w:lineRule="exact"/>
        <w:ind w:left="0" w:right="0" w:firstLine="640"/>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第二十二条</w:t>
      </w:r>
      <w:r>
        <w:rPr>
          <w:rFonts w:ascii="CESI宋体-GB2312" w:eastAsia="仿宋_GB2312" w:cs="仿宋_GB2312" w:hAnsi="CESI宋体-GB2312" w:hint="eastAsia"/>
          <w:b/>
          <w:bCs/>
          <w:color w:val="auto"/>
          <w:spacing w:val="6"/>
          <w:kern w:val="0"/>
          <w:sz w:val="32"/>
          <w:szCs w:val="32"/>
          <w:lang w:val="en-US" w:eastAsia="zh-CN" w:bidi="ar-SA"/>
          <w:highlight w:val="auto"/>
        </w:rPr>
        <w:t xml:space="preserve"> </w:t>
      </w:r>
      <w:r>
        <w:rPr>
          <w:rFonts w:ascii="CESI宋体-GB2312" w:eastAsia="仿宋_GB2312" w:cs="仿宋_GB2312" w:hAnsi="CESI宋体-GB2312" w:hint="eastAsia"/>
          <w:color w:val="auto"/>
          <w:spacing w:val="6"/>
          <w:kern w:val="0"/>
          <w:sz w:val="32"/>
          <w:szCs w:val="32"/>
          <w:lang w:val="en-US" w:eastAsia="zh-CN" w:bidi="ar-SA"/>
          <w:highlight w:val="auto"/>
        </w:rPr>
        <w:t xml:space="preserve"> 撤销退出是指不可移动文物降级撤销和可移动文物退出。文物资源资产撤销退出按照国家有关规定执行。</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0" w:beforeAutospacing="0" w:after="0" w:afterAutospacing="0" w:line="596" w:lineRule="exact"/>
        <w:ind w:left="0" w:right="0" w:firstLine="640"/>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第二十三条</w:t>
      </w:r>
      <w:r>
        <w:rPr>
          <w:rFonts w:ascii="CESI宋体-GB2312" w:eastAsia="仿宋_GB2312" w:cs="仿宋_GB2312" w:hAnsi="CESI宋体-GB2312" w:hint="eastAsia"/>
          <w:color w:val="auto"/>
          <w:spacing w:val="6"/>
          <w:kern w:val="0"/>
          <w:sz w:val="32"/>
          <w:szCs w:val="32"/>
          <w:lang w:val="en-US" w:eastAsia="zh-CN" w:bidi="ar-SA"/>
          <w:highlight w:val="auto"/>
        </w:rPr>
        <w:t xml:space="preserve">  管理收藏单位禁止利用文物资源资产进行对外投资和担保。国有文物收藏单位禁止将馆藏文物资源资产赠予、出租或者出售给其他单位、个人。</w:t>
      </w:r>
    </w:p>
    <w:p>
      <w:pPr>
        <w:keepNext w:val="0"/>
        <w:keepLines w:val="0"/>
        <w:pageBreakBefore w:val="0"/>
        <w:widowControl w:val="0"/>
        <w:suppressLineNumbers w:val="0"/>
        <w:pBdr>
          <w:top w:val="none" w:sz="0" w:space="0" w:color="auto"/>
          <w:bottom w:val="none" w:sz="0" w:space="0" w:color="auto"/>
        </w:pBdr>
        <w:kinsoku/>
        <w:wordWrap/>
        <w:overflowPunct w:val="0"/>
        <w:topLinePunct w:val="0"/>
        <w:autoSpaceDE/>
        <w:autoSpaceDN/>
        <w:bidi w:val="0"/>
        <w:adjustRightInd/>
        <w:snapToGrid/>
        <w:spacing w:before="0" w:beforeAutospacing="0" w:after="0" w:afterAutospacing="0" w:line="596" w:lineRule="exact"/>
        <w:ind w:left="0" w:right="0" w:firstLineChars="200" w:firstLine="664"/>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黑体" w:cs="黑体" w:hAnsi="CESI宋体-GB2312" w:hint="eastAsia"/>
          <w:color w:val="auto"/>
          <w:spacing w:val="6"/>
          <w:kern w:val="0"/>
          <w:sz w:val="32"/>
          <w:szCs w:val="32"/>
          <w:lang w:val="en-US" w:eastAsia="zh-CN" w:bidi="ar-SA"/>
          <w:highlight w:val="auto"/>
        </w:rPr>
        <w:t xml:space="preserve">第二十四条 </w:t>
      </w:r>
      <w:r>
        <w:rPr>
          <w:rFonts w:ascii="CESI宋体-GB2312" w:eastAsia="仿宋_GB2312" w:cs="仿宋_GB2312" w:hAnsi="CESI宋体-GB2312" w:hint="eastAsia"/>
          <w:color w:val="auto"/>
          <w:spacing w:val="6"/>
          <w:kern w:val="0"/>
          <w:sz w:val="32"/>
          <w:szCs w:val="32"/>
          <w:lang w:val="en-US" w:eastAsia="zh-CN" w:bidi="ar-SA"/>
          <w:highlight w:val="auto"/>
        </w:rPr>
        <w:t xml:space="preserve"> 可移动文物借展借用、调拨、损毁丢失，以及不可移动文物拆除等应当按照《中华人民共和国文物保护法》《中华人民共和国文物保护法实施条例》等相关规定执行。</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val="en-US"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kern w:val="0"/>
          <w:sz w:val="32"/>
          <w:szCs w:val="32"/>
          <w:lang w:val="en-US" w:eastAsia="zh-CN" w:bidi="ar-SA"/>
          <w:highlight w:val="auto"/>
        </w:rPr>
        <w:t>二十五</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文物资源资产调拨、拆除或者发生损毁丢失的，管理收藏单位</w:t>
      </w:r>
      <w:r>
        <w:rPr>
          <w:rFonts w:ascii="CESI宋体-GB2312" w:eastAsia="仿宋_GB2312" w:cs="仿宋_GB2312" w:hAnsi="CESI宋体-GB2312" w:hint="eastAsia"/>
          <w:color w:val="auto"/>
          <w:spacing w:val="6"/>
          <w:sz w:val="32"/>
          <w:szCs w:val="32"/>
          <w:lang w:eastAsia="zh-CN" w:bidi="ar-SA"/>
          <w:highlight w:val="auto"/>
        </w:rPr>
        <w:t>应当</w:t>
      </w:r>
      <w:r>
        <w:rPr>
          <w:rFonts w:ascii="CESI宋体-GB2312" w:cs="仿宋_GB2312" w:hAnsi="CESI宋体-GB2312" w:hint="eastAsia"/>
          <w:color w:val="auto"/>
          <w:spacing w:val="6"/>
          <w:sz w:val="32"/>
          <w:szCs w:val="32"/>
          <w:lang w:eastAsia="zh-CN" w:bidi="ar-SA"/>
          <w:highlight w:val="auto"/>
        </w:rPr>
        <w:t>按照规定程序核查处理后，</w:t>
      </w:r>
      <w:r>
        <w:rPr>
          <w:rFonts w:ascii="CESI宋体-GB2312" w:eastAsia="仿宋_GB2312" w:cs="仿宋_GB2312" w:hAnsi="CESI宋体-GB2312" w:hint="eastAsia"/>
          <w:color w:val="auto"/>
          <w:spacing w:val="6"/>
          <w:sz w:val="32"/>
          <w:szCs w:val="32"/>
          <w:lang w:bidi="ar-SA"/>
          <w:highlight w:val="auto"/>
        </w:rPr>
        <w:t>及时调整或者核销账务，并在年度国有资产报告中作出说明。</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二十六</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文物资源资产借展、交换、调拨等发生的补偿费用应当纳入单位年度预算，专门用于改善文物的收藏条件和文物征集，不得挪作他用。</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color w:val="auto"/>
          <w:spacing w:val="6"/>
          <w:sz w:val="32"/>
          <w:szCs w:val="32"/>
          <w:lang w:eastAsia="zh-CN" w:bidi="ar-SA"/>
          <w:highlight w:val="auto"/>
        </w:rPr>
      </w:pPr>
      <w:r>
        <w:rPr>
          <w:rFonts w:ascii="CESI宋体-GB2312" w:eastAsia="仿宋_GB2312" w:cs="仿宋_GB2312" w:hAnsi="CESI宋体-GB2312" w:hint="eastAsia"/>
          <w:color w:val="auto"/>
          <w:spacing w:val="6"/>
          <w:sz w:val="32"/>
          <w:szCs w:val="32"/>
          <w:lang w:bidi="ar-SA"/>
          <w:highlight w:val="auto"/>
        </w:rPr>
        <w:t>文物资源资产管理产生的其他收入属于政府所有的，应当按照政府非税收入管理和国库集中收缴管理有关规定，上缴同级国库</w:t>
      </w:r>
      <w:r>
        <w:rPr>
          <w:rFonts w:ascii="CESI宋体-GB2312" w:eastAsia="仿宋_GB2312" w:cs="仿宋_GB2312" w:hAnsi="CESI宋体-GB2312" w:hint="eastAsia"/>
          <w:color w:val="auto"/>
          <w:spacing w:val="6"/>
          <w:sz w:val="32"/>
          <w:szCs w:val="32"/>
          <w:lang w:eastAsia="zh-CN" w:bidi="ar-SA"/>
          <w:highlight w:val="auto"/>
        </w:rPr>
        <w:t>。</w:t>
      </w:r>
    </w:p>
    <w:p>
      <w:pPr>
        <w:pStyle w:val="82"/>
        <w:keepNext w:val="0"/>
        <w:keepLines w:val="0"/>
        <w:pageBreakBefore w:val="0"/>
        <w:widowControl w:val="0"/>
        <w:pBdr>
          <w:top w:val="none" w:sz="0" w:space="0" w:color="auto"/>
          <w:bottom w:val="none" w:sz="0" w:space="0" w:color="auto"/>
        </w:pBdr>
        <w:bidi w:val="0"/>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hAnsi="CESI宋体-GB2312" w:hint="eastAsia"/>
          <w:highlight w:val="auto"/>
        </w:rPr>
      </w:pPr>
      <w:r>
        <w:rPr>
          <w:rFonts w:ascii="CESI宋体-GB2312" w:eastAsia="黑体" w:cs="黑体" w:hAnsi="CESI宋体-GB2312" w:hint="eastAsia"/>
          <w:color w:val="auto"/>
          <w:spacing w:val="6"/>
          <w:sz w:val="32"/>
          <w:szCs w:val="32"/>
          <w:lang w:val="en-US" w:eastAsia="zh-CN" w:bidi="ar-SA"/>
          <w:highlight w:val="auto"/>
        </w:rPr>
        <w:t xml:space="preserve">第五章  </w:t>
      </w:r>
      <w:r>
        <w:rPr>
          <w:rFonts w:ascii="CESI宋体-GB2312" w:eastAsia="黑体" w:cs="黑体" w:hAnsi="CESI宋体-GB2312" w:hint="eastAsia"/>
          <w:color w:val="auto"/>
          <w:spacing w:val="6"/>
          <w:sz w:val="32"/>
          <w:szCs w:val="32"/>
          <w:lang w:eastAsia="zh-CN" w:bidi="ar-SA"/>
          <w:highlight w:val="auto"/>
        </w:rPr>
        <w:t>文物资源资产信息化管理</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黑体" w:cs="黑体" w:hAnsi="CESI宋体-GB2312" w:hint="eastAsia"/>
          <w:color w:val="auto"/>
          <w:spacing w:val="6"/>
          <w:sz w:val="32"/>
          <w:szCs w:val="32"/>
          <w:lang w:val="en-US"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二十七</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文物资源资产管理应当按照资产管理信息化要求，</w:t>
      </w:r>
      <w:r>
        <w:rPr>
          <w:rFonts w:ascii="CESI宋体-GB2312" w:eastAsia="仿宋_GB2312" w:cs="仿宋_GB2312" w:hAnsi="CESI宋体-GB2312" w:hint="eastAsia"/>
          <w:color w:val="auto"/>
          <w:spacing w:val="6"/>
          <w:sz w:val="32"/>
          <w:szCs w:val="32"/>
          <w:lang w:eastAsia="zh-CN" w:bidi="ar-SA"/>
          <w:highlight w:val="auto"/>
        </w:rPr>
        <w:t>依托财政部门预算管理一体化系统和文物行政部门信息系统，</w:t>
      </w:r>
      <w:r>
        <w:rPr>
          <w:rFonts w:ascii="CESI宋体-GB2312" w:eastAsia="仿宋_GB2312" w:cs="仿宋_GB2312" w:hAnsi="CESI宋体-GB2312" w:hint="eastAsia"/>
          <w:color w:val="auto"/>
          <w:spacing w:val="6"/>
          <w:sz w:val="32"/>
          <w:szCs w:val="32"/>
          <w:lang w:bidi="ar-SA"/>
          <w:highlight w:val="auto"/>
        </w:rPr>
        <w:t>建立文物资源资产</w:t>
      </w:r>
      <w:r>
        <w:rPr>
          <w:rFonts w:ascii="CESI宋体-GB2312" w:eastAsia="仿宋_GB2312" w:cs="仿宋_GB2312" w:hAnsi="CESI宋体-GB2312" w:hint="eastAsia"/>
          <w:color w:val="auto"/>
          <w:spacing w:val="6"/>
          <w:sz w:val="32"/>
          <w:szCs w:val="32"/>
          <w:lang w:eastAsia="zh-CN" w:bidi="ar-SA"/>
          <w:highlight w:val="auto"/>
        </w:rPr>
        <w:t>动态管理</w:t>
      </w:r>
      <w:r>
        <w:rPr>
          <w:rFonts w:ascii="CESI宋体-GB2312" w:eastAsia="仿宋_GB2312" w:cs="仿宋_GB2312" w:hAnsi="CESI宋体-GB2312" w:hint="eastAsia"/>
          <w:color w:val="auto"/>
          <w:spacing w:val="6"/>
          <w:sz w:val="32"/>
          <w:szCs w:val="32"/>
          <w:lang w:bidi="ar-SA"/>
          <w:highlight w:val="auto"/>
        </w:rPr>
        <w:t>机制。</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eastAsia="zh-CN" w:bidi="ar-SA"/>
          <w:highlight w:val="auto"/>
        </w:rPr>
        <w:t>第二十八条</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eastAsia="zh-CN" w:bidi="ar-SA"/>
          <w:highlight w:val="auto"/>
        </w:rPr>
        <w:t xml:space="preserve"> 文物资源资产信息卡是文物资源资产登记录入文物总登记账和文物资源资产财务账的基础，分为不可移动文物资源资产信息卡（见附件1）和可移动文物资源资产信息卡（见附件2）。</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eastAsia="zh-CN" w:bidi="ar-SA"/>
          <w:highlight w:val="auto"/>
        </w:rPr>
        <w:t>第二十九条</w:t>
      </w:r>
      <w:r>
        <w:rPr>
          <w:rFonts w:ascii="CESI宋体-GB2312" w:eastAsia="仿宋_GB2312" w:cs="仿宋_GB2312" w:hAnsi="CESI宋体-GB2312" w:hint="eastAsia"/>
          <w:color w:val="auto"/>
          <w:spacing w:val="6"/>
          <w:sz w:val="32"/>
          <w:szCs w:val="32"/>
          <w:lang w:eastAsia="zh-CN" w:bidi="ar-SA"/>
          <w:highlight w:val="auto"/>
        </w:rPr>
        <w:t xml:space="preserve">  不可移动文物资源资产信息卡主要内容包括基本信息、财务信息</w:t>
      </w:r>
      <w:r>
        <w:rPr>
          <w:rFonts w:ascii="CESI宋体-GB2312" w:cs="仿宋_GB2312" w:hAnsi="CESI宋体-GB2312" w:hint="eastAsia"/>
          <w:color w:val="auto"/>
          <w:spacing w:val="6"/>
          <w:sz w:val="32"/>
          <w:szCs w:val="32"/>
          <w:lang w:eastAsia="zh-CN" w:bidi="ar-SA"/>
          <w:highlight w:val="auto"/>
        </w:rPr>
        <w:t>、使用信息、特性信息</w:t>
      </w:r>
      <w:r>
        <w:rPr>
          <w:rFonts w:ascii="CESI宋体-GB2312" w:eastAsia="仿宋_GB2312" w:cs="仿宋_GB2312" w:hAnsi="CESI宋体-GB2312" w:hint="eastAsia"/>
          <w:color w:val="auto"/>
          <w:spacing w:val="6"/>
          <w:sz w:val="32"/>
          <w:szCs w:val="32"/>
          <w:lang w:eastAsia="zh-CN" w:bidi="ar-SA"/>
          <w:highlight w:val="auto"/>
        </w:rPr>
        <w:t>和</w:t>
      </w:r>
      <w:r>
        <w:rPr>
          <w:rFonts w:ascii="CESI宋体-GB2312" w:cs="仿宋_GB2312" w:hAnsi="CESI宋体-GB2312" w:hint="eastAsia"/>
          <w:color w:val="auto"/>
          <w:spacing w:val="6"/>
          <w:sz w:val="32"/>
          <w:szCs w:val="32"/>
          <w:lang w:eastAsia="zh-CN" w:bidi="ar-SA"/>
          <w:highlight w:val="auto"/>
        </w:rPr>
        <w:t>处置</w:t>
      </w:r>
      <w:r>
        <w:rPr>
          <w:rFonts w:ascii="CESI宋体-GB2312" w:eastAsia="仿宋_GB2312" w:cs="仿宋_GB2312" w:hAnsi="CESI宋体-GB2312" w:hint="eastAsia"/>
          <w:color w:val="auto"/>
          <w:spacing w:val="6"/>
          <w:sz w:val="32"/>
          <w:szCs w:val="32"/>
          <w:lang w:eastAsia="zh-CN" w:bidi="ar-SA"/>
          <w:highlight w:val="auto"/>
        </w:rPr>
        <w:t>信息。</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仿宋_GB2312" w:cs="仿宋_GB2312" w:hAnsi="CESI宋体-GB2312" w:hint="eastAsia"/>
          <w:color w:val="auto"/>
          <w:spacing w:val="6"/>
          <w:sz w:val="32"/>
          <w:szCs w:val="32"/>
          <w:lang w:eastAsia="zh-CN" w:bidi="ar-SA"/>
          <w:highlight w:val="auto"/>
        </w:rPr>
        <w:t>基本信息主要包括：资产名称、</w:t>
      </w:r>
      <w:r>
        <w:rPr>
          <w:rFonts w:ascii="CESI宋体-GB2312" w:cs="仿宋_GB2312" w:hAnsi="CESI宋体-GB2312" w:hint="eastAsia"/>
          <w:color w:val="auto"/>
          <w:spacing w:val="6"/>
          <w:sz w:val="32"/>
          <w:szCs w:val="32"/>
          <w:lang w:eastAsia="zh-CN" w:bidi="ar-SA"/>
          <w:highlight w:val="auto"/>
        </w:rPr>
        <w:t>数量、取得方式、取得日期、资产用途、文物等级等</w:t>
      </w:r>
      <w:r>
        <w:rPr>
          <w:rFonts w:ascii="CESI宋体-GB2312" w:eastAsia="仿宋_GB2312" w:cs="仿宋_GB2312" w:hAnsi="CESI宋体-GB2312" w:hint="eastAsia"/>
          <w:color w:val="auto"/>
          <w:spacing w:val="6"/>
          <w:sz w:val="32"/>
          <w:szCs w:val="32"/>
          <w:lang w:eastAsia="zh-CN" w:bidi="ar-SA"/>
          <w:highlight w:val="auto"/>
        </w:rPr>
        <w:t>；</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仿宋_GB2312" w:cs="仿宋_GB2312" w:hAnsi="CESI宋体-GB2312" w:hint="eastAsia"/>
          <w:color w:val="auto"/>
          <w:spacing w:val="6"/>
          <w:sz w:val="32"/>
          <w:szCs w:val="32"/>
          <w:lang w:eastAsia="zh-CN" w:bidi="ar-SA"/>
          <w:highlight w:val="auto"/>
        </w:rPr>
        <w:t>财务信息主要包括：</w:t>
      </w:r>
      <w:r>
        <w:rPr>
          <w:rFonts w:ascii="CESI宋体-GB2312" w:cs="仿宋_GB2312" w:hAnsi="CESI宋体-GB2312" w:hint="eastAsia"/>
          <w:color w:val="auto"/>
          <w:spacing w:val="6"/>
          <w:sz w:val="32"/>
          <w:szCs w:val="32"/>
          <w:lang w:eastAsia="zh-CN" w:bidi="ar-SA"/>
          <w:highlight w:val="auto"/>
        </w:rPr>
        <w:t>价值类型、资产原值、经费来源、入账信息等</w:t>
      </w:r>
      <w:r>
        <w:rPr>
          <w:rFonts w:ascii="CESI宋体-GB2312" w:eastAsia="仿宋_GB2312" w:cs="仿宋_GB2312" w:hAnsi="CESI宋体-GB2312" w:hint="eastAsia"/>
          <w:color w:val="auto"/>
          <w:spacing w:val="6"/>
          <w:sz w:val="32"/>
          <w:szCs w:val="32"/>
          <w:lang w:eastAsia="zh-CN" w:bidi="ar-SA"/>
          <w:highlight w:val="auto"/>
        </w:rPr>
        <w:t>；</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cs="仿宋_GB2312" w:hAnsi="CESI宋体-GB2312" w:hint="eastAsia"/>
          <w:color w:val="auto"/>
          <w:spacing w:val="6"/>
          <w:sz w:val="32"/>
          <w:szCs w:val="32"/>
          <w:lang w:eastAsia="zh-CN" w:bidi="ar-SA"/>
          <w:highlight w:val="auto"/>
        </w:rPr>
      </w:pPr>
      <w:r>
        <w:rPr>
          <w:rFonts w:ascii="CESI宋体-GB2312" w:cs="仿宋_GB2312" w:hAnsi="CESI宋体-GB2312" w:hint="eastAsia"/>
          <w:color w:val="auto"/>
          <w:spacing w:val="6"/>
          <w:sz w:val="32"/>
          <w:szCs w:val="32"/>
          <w:lang w:eastAsia="zh-CN" w:bidi="ar-SA"/>
          <w:highlight w:val="auto"/>
        </w:rPr>
        <w:t>使用</w:t>
      </w:r>
      <w:r>
        <w:rPr>
          <w:rFonts w:ascii="CESI宋体-GB2312" w:eastAsia="仿宋_GB2312" w:cs="仿宋_GB2312" w:hAnsi="CESI宋体-GB2312" w:hint="eastAsia"/>
          <w:color w:val="auto"/>
          <w:spacing w:val="6"/>
          <w:sz w:val="32"/>
          <w:szCs w:val="32"/>
          <w:lang w:eastAsia="zh-CN" w:bidi="ar-SA"/>
          <w:highlight w:val="auto"/>
        </w:rPr>
        <w:t>信息主要包括：</w:t>
      </w:r>
      <w:r>
        <w:rPr>
          <w:rFonts w:ascii="CESI宋体-GB2312" w:cs="仿宋_GB2312" w:hAnsi="CESI宋体-GB2312" w:hint="eastAsia"/>
          <w:color w:val="auto"/>
          <w:spacing w:val="6"/>
          <w:sz w:val="32"/>
          <w:szCs w:val="32"/>
          <w:lang w:eastAsia="zh-CN" w:bidi="ar-SA"/>
          <w:highlight w:val="auto"/>
        </w:rPr>
        <w:t>资产状态、管理部门、使用部门、管理人员等；</w:t>
      </w:r>
    </w:p>
    <w:p>
      <w:pPr>
        <w:pStyle w:val="82"/>
        <w:ind w:firstLine="688"/>
        <w:rPr>
          <w:rFonts w:ascii="CESI宋体-GB2312" w:cs="仿宋_GB2312" w:hAnsi="CESI宋体-GB2312" w:hint="eastAsia"/>
          <w:color w:val="auto"/>
          <w:spacing w:val="6"/>
          <w:sz w:val="32"/>
          <w:szCs w:val="32"/>
          <w:lang w:val="en-US" w:eastAsia="zh-CN" w:bidi="ar-SA"/>
          <w:highlight w:val="auto"/>
        </w:rPr>
      </w:pPr>
      <w:r>
        <w:rPr>
          <w:rFonts w:ascii="CESI宋体-GB2312" w:cs="仿宋_GB2312" w:hAnsi="CESI宋体-GB2312" w:hint="eastAsia"/>
          <w:color w:val="auto"/>
          <w:spacing w:val="6"/>
          <w:sz w:val="32"/>
          <w:szCs w:val="32"/>
          <w:lang w:val="en-US" w:eastAsia="zh-CN" w:bidi="ar-SA"/>
          <w:highlight w:val="auto"/>
        </w:rPr>
        <w:t>特性信息主要包括：使用状态、占地面积、文物简介、文物来源等；</w:t>
      </w:r>
    </w:p>
    <w:p>
      <w:pPr>
        <w:ind w:firstLine="688"/>
        <w:rPr>
          <w:lang w:val="en-US" w:eastAsia="zh-CN"/>
        </w:rPr>
      </w:pPr>
      <w:r>
        <w:rPr>
          <w:rFonts w:hint="eastAsia"/>
          <w:lang w:val="en-US" w:eastAsia="zh-CN"/>
        </w:rPr>
        <w:t>处置信息主要包括：处置形式、处置渠道、处置时间、处置收益等。</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eastAsia="zh-CN" w:bidi="ar-SA"/>
          <w:highlight w:val="auto"/>
        </w:rPr>
        <w:t>第三十条</w:t>
      </w:r>
      <w:r>
        <w:rPr>
          <w:rFonts w:ascii="CESI宋体-GB2312" w:eastAsia="仿宋_GB2312" w:cs="仿宋_GB2312" w:hAnsi="CESI宋体-GB2312" w:hint="eastAsia"/>
          <w:color w:val="auto"/>
          <w:spacing w:val="6"/>
          <w:sz w:val="32"/>
          <w:szCs w:val="32"/>
          <w:lang w:eastAsia="zh-CN" w:bidi="ar-SA"/>
          <w:highlight w:val="auto"/>
        </w:rPr>
        <w:t xml:space="preserve">  可移动文物资源资产信息卡主要内容包括基本信息、财务信息</w:t>
      </w:r>
      <w:r>
        <w:rPr>
          <w:rFonts w:ascii="CESI宋体-GB2312" w:cs="仿宋_GB2312" w:hAnsi="CESI宋体-GB2312" w:hint="eastAsia"/>
          <w:color w:val="auto"/>
          <w:spacing w:val="6"/>
          <w:sz w:val="32"/>
          <w:szCs w:val="32"/>
          <w:lang w:eastAsia="zh-CN" w:bidi="ar-SA"/>
          <w:highlight w:val="auto"/>
        </w:rPr>
        <w:t>、使用信息、特性信息</w:t>
      </w:r>
      <w:r>
        <w:rPr>
          <w:rFonts w:ascii="CESI宋体-GB2312" w:eastAsia="仿宋_GB2312" w:cs="仿宋_GB2312" w:hAnsi="CESI宋体-GB2312" w:hint="eastAsia"/>
          <w:color w:val="auto"/>
          <w:spacing w:val="6"/>
          <w:sz w:val="32"/>
          <w:szCs w:val="32"/>
          <w:lang w:eastAsia="zh-CN" w:bidi="ar-SA"/>
          <w:highlight w:val="auto"/>
        </w:rPr>
        <w:t>和</w:t>
      </w:r>
      <w:r>
        <w:rPr>
          <w:rFonts w:ascii="CESI宋体-GB2312" w:cs="仿宋_GB2312" w:hAnsi="CESI宋体-GB2312" w:hint="eastAsia"/>
          <w:color w:val="auto"/>
          <w:spacing w:val="6"/>
          <w:sz w:val="32"/>
          <w:szCs w:val="32"/>
          <w:lang w:eastAsia="zh-CN" w:bidi="ar-SA"/>
          <w:highlight w:val="auto"/>
        </w:rPr>
        <w:t>处置</w:t>
      </w:r>
      <w:r>
        <w:rPr>
          <w:rFonts w:ascii="CESI宋体-GB2312" w:eastAsia="仿宋_GB2312" w:cs="仿宋_GB2312" w:hAnsi="CESI宋体-GB2312" w:hint="eastAsia"/>
          <w:color w:val="auto"/>
          <w:spacing w:val="6"/>
          <w:sz w:val="32"/>
          <w:szCs w:val="32"/>
          <w:lang w:eastAsia="zh-CN" w:bidi="ar-SA"/>
          <w:highlight w:val="auto"/>
        </w:rPr>
        <w:t>信息。</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仿宋_GB2312" w:cs="仿宋_GB2312" w:hAnsi="CESI宋体-GB2312" w:hint="eastAsia"/>
          <w:color w:val="auto"/>
          <w:spacing w:val="6"/>
          <w:sz w:val="32"/>
          <w:szCs w:val="32"/>
          <w:lang w:eastAsia="zh-CN" w:bidi="ar-SA"/>
          <w:highlight w:val="auto"/>
        </w:rPr>
        <w:t>基本信息主要包括：资产名称、</w:t>
      </w:r>
      <w:r>
        <w:rPr>
          <w:rFonts w:ascii="CESI宋体-GB2312" w:cs="仿宋_GB2312" w:hAnsi="CESI宋体-GB2312" w:hint="eastAsia"/>
          <w:color w:val="auto"/>
          <w:spacing w:val="6"/>
          <w:sz w:val="32"/>
          <w:szCs w:val="32"/>
          <w:lang w:eastAsia="zh-CN" w:bidi="ar-SA"/>
          <w:highlight w:val="auto"/>
        </w:rPr>
        <w:t>数量、取得方式、取得日期、资产用途、文物等级等</w:t>
      </w:r>
      <w:r>
        <w:rPr>
          <w:rFonts w:ascii="CESI宋体-GB2312" w:eastAsia="仿宋_GB2312" w:cs="仿宋_GB2312" w:hAnsi="CESI宋体-GB2312" w:hint="eastAsia"/>
          <w:color w:val="auto"/>
          <w:spacing w:val="6"/>
          <w:sz w:val="32"/>
          <w:szCs w:val="32"/>
          <w:lang w:eastAsia="zh-CN" w:bidi="ar-SA"/>
          <w:highlight w:val="auto"/>
        </w:rPr>
        <w:t>；</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仿宋_GB2312" w:cs="仿宋_GB2312" w:hAnsi="CESI宋体-GB2312" w:hint="eastAsia"/>
          <w:color w:val="auto"/>
          <w:spacing w:val="6"/>
          <w:sz w:val="32"/>
          <w:szCs w:val="32"/>
          <w:lang w:eastAsia="zh-CN" w:bidi="ar-SA"/>
          <w:highlight w:val="auto"/>
        </w:rPr>
        <w:t>财务信息主要包括：</w:t>
      </w:r>
      <w:r>
        <w:rPr>
          <w:rFonts w:ascii="CESI宋体-GB2312" w:cs="仿宋_GB2312" w:hAnsi="CESI宋体-GB2312" w:hint="eastAsia"/>
          <w:color w:val="auto"/>
          <w:spacing w:val="6"/>
          <w:sz w:val="32"/>
          <w:szCs w:val="32"/>
          <w:lang w:eastAsia="zh-CN" w:bidi="ar-SA"/>
          <w:highlight w:val="auto"/>
        </w:rPr>
        <w:t>价值类型、资产原值、经费来源、入账信息等</w:t>
      </w:r>
      <w:r>
        <w:rPr>
          <w:rFonts w:ascii="CESI宋体-GB2312" w:eastAsia="仿宋_GB2312" w:cs="仿宋_GB2312" w:hAnsi="CESI宋体-GB2312" w:hint="eastAsia"/>
          <w:color w:val="auto"/>
          <w:spacing w:val="6"/>
          <w:sz w:val="32"/>
          <w:szCs w:val="32"/>
          <w:lang w:eastAsia="zh-CN" w:bidi="ar-SA"/>
          <w:highlight w:val="auto"/>
        </w:rPr>
        <w:t>；</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cs="仿宋_GB2312" w:hAnsi="CESI宋体-GB2312" w:hint="eastAsia"/>
          <w:color w:val="auto"/>
          <w:spacing w:val="6"/>
          <w:sz w:val="32"/>
          <w:szCs w:val="32"/>
          <w:lang w:eastAsia="zh-CN" w:bidi="ar-SA"/>
          <w:highlight w:val="auto"/>
        </w:rPr>
      </w:pPr>
      <w:r>
        <w:rPr>
          <w:rFonts w:ascii="CESI宋体-GB2312" w:cs="仿宋_GB2312" w:hAnsi="CESI宋体-GB2312" w:hint="eastAsia"/>
          <w:color w:val="auto"/>
          <w:spacing w:val="6"/>
          <w:sz w:val="32"/>
          <w:szCs w:val="32"/>
          <w:lang w:eastAsia="zh-CN" w:bidi="ar-SA"/>
          <w:highlight w:val="auto"/>
        </w:rPr>
        <w:t>使用</w:t>
      </w:r>
      <w:r>
        <w:rPr>
          <w:rFonts w:ascii="CESI宋体-GB2312" w:eastAsia="仿宋_GB2312" w:cs="仿宋_GB2312" w:hAnsi="CESI宋体-GB2312" w:hint="eastAsia"/>
          <w:color w:val="auto"/>
          <w:spacing w:val="6"/>
          <w:sz w:val="32"/>
          <w:szCs w:val="32"/>
          <w:lang w:eastAsia="zh-CN" w:bidi="ar-SA"/>
          <w:highlight w:val="auto"/>
        </w:rPr>
        <w:t>信息主要包括：</w:t>
      </w:r>
      <w:r>
        <w:rPr>
          <w:rFonts w:ascii="CESI宋体-GB2312" w:cs="仿宋_GB2312" w:hAnsi="CESI宋体-GB2312" w:hint="eastAsia"/>
          <w:color w:val="auto"/>
          <w:spacing w:val="6"/>
          <w:sz w:val="32"/>
          <w:szCs w:val="32"/>
          <w:lang w:eastAsia="zh-CN" w:bidi="ar-SA"/>
          <w:highlight w:val="auto"/>
        </w:rPr>
        <w:t>资产状态、管理部门、使用部门、管理人员等；</w:t>
      </w:r>
    </w:p>
    <w:p>
      <w:pPr>
        <w:pStyle w:val="82"/>
        <w:ind w:firstLine="688"/>
        <w:rPr>
          <w:rFonts w:ascii="CESI宋体-GB2312" w:cs="仿宋_GB2312" w:hAnsi="CESI宋体-GB2312" w:hint="eastAsia"/>
          <w:color w:val="auto"/>
          <w:spacing w:val="6"/>
          <w:sz w:val="32"/>
          <w:szCs w:val="32"/>
          <w:lang w:val="en-US" w:eastAsia="zh-CN" w:bidi="ar-SA"/>
          <w:highlight w:val="auto"/>
        </w:rPr>
      </w:pPr>
      <w:r>
        <w:rPr>
          <w:rFonts w:ascii="CESI宋体-GB2312" w:cs="仿宋_GB2312" w:hAnsi="CESI宋体-GB2312" w:hint="eastAsia"/>
          <w:color w:val="auto"/>
          <w:spacing w:val="6"/>
          <w:sz w:val="32"/>
          <w:szCs w:val="32"/>
          <w:lang w:val="en-US" w:eastAsia="zh-CN" w:bidi="ar-SA"/>
          <w:highlight w:val="auto"/>
        </w:rPr>
        <w:t>特性信息主要包括：使用状态、是否馆藏文物、文物简介、文物来源等；</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hint="eastAsia"/>
          <w:lang w:val="en-US" w:eastAsia="zh-CN"/>
        </w:rPr>
        <w:t>处置信息主要包括：处置形式、处置渠道、处置时间、处置收益等。</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hAnsi="CESI宋体-GB2312" w:hint="eastAsia"/>
          <w:lang w:eastAsia="zh-CN"/>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三十一</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eastAsia="zh-CN" w:bidi="ar-SA"/>
          <w:highlight w:val="auto"/>
        </w:rPr>
        <w:t>文物资源资产管理信息系统中的文物资源资产信息应当与文物普查数据库中的文物信息相衔接，文物资源资产行业管理信息应当以文物普查数据库为准并保持一致。</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三十二</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bidi="ar-SA"/>
          <w:highlight w:val="auto"/>
        </w:rPr>
        <w:t>管理收藏单位应当按照文物资源资产信息卡规定内容，及时录入文物资源资产信息</w:t>
      </w:r>
      <w:r>
        <w:rPr>
          <w:rFonts w:ascii="CESI宋体-GB2312" w:eastAsia="仿宋_GB2312" w:cs="仿宋_GB2312" w:hAnsi="CESI宋体-GB2312" w:hint="eastAsia"/>
          <w:color w:val="auto"/>
          <w:spacing w:val="6"/>
          <w:sz w:val="32"/>
          <w:szCs w:val="32"/>
          <w:lang w:eastAsia="zh-CN" w:bidi="ar-SA"/>
          <w:highlight w:val="auto"/>
        </w:rPr>
        <w:t>，</w:t>
      </w:r>
      <w:r>
        <w:rPr>
          <w:rFonts w:ascii="CESI宋体-GB2312" w:eastAsia="仿宋_GB2312" w:cs="仿宋_GB2312" w:hAnsi="CESI宋体-GB2312" w:hint="eastAsia"/>
          <w:color w:val="auto"/>
          <w:spacing w:val="6"/>
          <w:sz w:val="32"/>
          <w:szCs w:val="32"/>
          <w:lang w:eastAsia="zh-CN" w:bidi="ar-SA"/>
          <w:highlight w:val="auto"/>
        </w:rPr>
        <w:t>健全文物资源资产信息数据库</w:t>
      </w:r>
      <w:r>
        <w:rPr>
          <w:rFonts w:ascii="CESI宋体-GB2312" w:eastAsia="仿宋_GB2312" w:cs="仿宋_GB2312" w:hAnsi="CESI宋体-GB2312" w:hint="eastAsia"/>
          <w:color w:val="auto"/>
          <w:spacing w:val="6"/>
          <w:sz w:val="32"/>
          <w:szCs w:val="32"/>
          <w:lang w:eastAsia="zh-CN" w:bidi="ar-SA"/>
          <w:highlight w:val="auto"/>
        </w:rPr>
        <w:t>。文物资源资产管理信息</w:t>
      </w:r>
      <w:r>
        <w:rPr>
          <w:rFonts w:ascii="CESI宋体-GB2312" w:eastAsia="仿宋_GB2312" w:cs="仿宋_GB2312" w:hAnsi="CESI宋体-GB2312" w:hint="eastAsia"/>
          <w:color w:val="auto"/>
          <w:spacing w:val="6"/>
          <w:sz w:val="32"/>
          <w:szCs w:val="32"/>
          <w:lang w:bidi="ar-SA"/>
          <w:highlight w:val="auto"/>
        </w:rPr>
        <w:t>因调拨、交换、损毁、丢失</w:t>
      </w:r>
      <w:r>
        <w:rPr>
          <w:rFonts w:ascii="CESI宋体-GB2312" w:eastAsia="仿宋_GB2312" w:cs="仿宋_GB2312" w:hAnsi="CESI宋体-GB2312" w:hint="eastAsia"/>
          <w:color w:val="auto"/>
          <w:spacing w:val="6"/>
          <w:sz w:val="32"/>
          <w:szCs w:val="32"/>
          <w:lang w:eastAsia="zh-CN" w:bidi="ar-SA"/>
          <w:highlight w:val="auto"/>
        </w:rPr>
        <w:t>、撤销退出</w:t>
      </w:r>
      <w:r>
        <w:rPr>
          <w:rFonts w:ascii="CESI宋体-GB2312" w:eastAsia="仿宋_GB2312" w:cs="仿宋_GB2312" w:hAnsi="CESI宋体-GB2312" w:hint="eastAsia"/>
          <w:color w:val="auto"/>
          <w:spacing w:val="6"/>
          <w:sz w:val="32"/>
          <w:szCs w:val="32"/>
          <w:lang w:bidi="ar-SA"/>
          <w:highlight w:val="auto"/>
        </w:rPr>
        <w:t>等发生变动的，管理收藏单位应当及时变更资产信息卡，并同步调整有关账目</w:t>
      </w:r>
      <w:r>
        <w:rPr>
          <w:rFonts w:ascii="CESI宋体-GB2312" w:eastAsia="仿宋_GB2312" w:cs="仿宋_GB2312" w:hAnsi="CESI宋体-GB2312" w:hint="eastAsia"/>
          <w:color w:val="auto"/>
          <w:spacing w:val="6"/>
          <w:sz w:val="32"/>
          <w:szCs w:val="32"/>
          <w:lang w:eastAsia="zh-CN" w:bidi="ar-SA"/>
          <w:highlight w:val="auto"/>
        </w:rPr>
        <w:t>，保证文物资源资产信息数据真实、准确、完整。</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606" w:lineRule="exact"/>
        <w:ind w:firstLine="641"/>
        <w:jc w:val="both"/>
        <w:textAlignment w:val="auto"/>
        <w:rPr>
          <w:rFonts w:ascii="CESI宋体-GB2312" w:eastAsia="仿宋_GB2312" w:cs="仿宋_GB2312" w:hAnsi="CESI宋体-GB2312"/>
          <w:color w:val="auto"/>
          <w:spacing w:val="6"/>
          <w:sz w:val="32"/>
          <w:szCs w:val="32"/>
          <w:lang w:bidi="ar-SA"/>
          <w:highlight w:val="auto"/>
        </w:rPr>
      </w:pPr>
      <w:r>
        <w:rPr>
          <w:rFonts w:ascii="CESI宋体-GB2312" w:eastAsia="黑体" w:cs="黑体" w:hAnsi="CESI宋体-GB2312" w:hint="eastAsia"/>
          <w:color w:val="auto"/>
          <w:spacing w:val="6"/>
          <w:kern w:val="2"/>
          <w:sz w:val="32"/>
          <w:szCs w:val="32"/>
          <w:lang w:val="en-US" w:eastAsia="zh-CN" w:bidi="ar-SA"/>
          <w:highlight w:val="auto"/>
        </w:rPr>
        <w:t>第</w:t>
      </w:r>
      <w:r>
        <w:rPr>
          <w:rFonts w:ascii="CESI宋体-GB2312" w:eastAsia="黑体" w:cs="黑体" w:hAnsi="CESI宋体-GB2312" w:hint="eastAsia"/>
          <w:color w:val="auto"/>
          <w:spacing w:val="6"/>
          <w:sz w:val="32"/>
          <w:szCs w:val="32"/>
          <w:lang w:eastAsia="zh-CN" w:bidi="ar-SA"/>
          <w:highlight w:val="auto"/>
        </w:rPr>
        <w:t>三十三</w:t>
      </w:r>
      <w:r>
        <w:rPr>
          <w:rFonts w:ascii="CESI宋体-GB2312" w:eastAsia="黑体" w:cs="黑体" w:hAnsi="CESI宋体-GB2312" w:hint="eastAsia"/>
          <w:color w:val="auto"/>
          <w:spacing w:val="6"/>
          <w:sz w:val="32"/>
          <w:szCs w:val="32"/>
          <w:lang w:val="en-US" w:eastAsia="zh-CN" w:bidi="ar-SA"/>
          <w:highlight w:val="auto"/>
        </w:rPr>
        <w:t xml:space="preserve">条  </w:t>
      </w:r>
      <w:r>
        <w:rPr>
          <w:rFonts w:ascii="CESI宋体-GB2312" w:eastAsia="仿宋_GB2312" w:cs="仿宋_GB2312" w:hAnsi="CESI宋体-GB2312" w:hint="eastAsia"/>
          <w:color w:val="auto"/>
          <w:spacing w:val="6"/>
          <w:kern w:val="0"/>
          <w:sz w:val="32"/>
          <w:szCs w:val="32"/>
          <w:lang w:val="en-US" w:eastAsia="zh-CN" w:bidi="ar-SA"/>
          <w:highlight w:val="auto"/>
        </w:rPr>
        <w:t>财政部门、文物行政部门应充分利用文物资源资产数据信息，满足文物资源资产管理、预算管理和国有资产报告需要，将</w:t>
      </w:r>
      <w:r>
        <w:rPr>
          <w:rFonts w:ascii="CESI宋体-GB2312" w:eastAsia="仿宋_GB2312" w:cs="仿宋_GB2312" w:hAnsi="CESI宋体-GB2312" w:hint="eastAsia"/>
          <w:color w:val="auto"/>
          <w:spacing w:val="6"/>
          <w:sz w:val="32"/>
          <w:szCs w:val="32"/>
          <w:lang w:bidi="ar-SA"/>
          <w:highlight w:val="auto"/>
        </w:rPr>
        <w:t>存量文物资源资产数据作为管理维护、保养修缮预算支出安排的重要依据。</w:t>
      </w:r>
    </w:p>
    <w:p>
      <w:pPr>
        <w:pStyle w:val="82"/>
        <w:keepNext w:val="0"/>
        <w:keepLines w:val="0"/>
        <w:pageBreakBefore w:val="0"/>
        <w:widowControl w:val="0"/>
        <w:pBdr>
          <w:top w:val="none" w:sz="0" w:space="0" w:color="auto"/>
          <w:bottom w:val="none" w:sz="0" w:space="0" w:color="auto"/>
        </w:pBdr>
        <w:bidi w:val="0"/>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eastAsia="黑体" w:cs="黑体"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六</w:t>
      </w:r>
      <w:r>
        <w:rPr>
          <w:rFonts w:ascii="CESI宋体-GB2312" w:eastAsia="黑体" w:cs="黑体" w:hAnsi="CESI宋体-GB2312" w:hint="eastAsia"/>
          <w:color w:val="auto"/>
          <w:spacing w:val="6"/>
          <w:sz w:val="32"/>
          <w:szCs w:val="32"/>
          <w:lang w:bidi="ar-SA"/>
          <w:highlight w:val="auto"/>
        </w:rPr>
        <w:t xml:space="preserve">章 </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文物资源资产报告</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kern w:val="2"/>
          <w:sz w:val="32"/>
          <w:szCs w:val="32"/>
          <w:lang w:val="en-US" w:eastAsia="zh-CN" w:bidi="ar-SA"/>
          <w:highlight w:val="auto"/>
        </w:rPr>
        <w:t>三十四</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文物资源资产管理情况是国有资产报告的组成部分，应当纳入本级政府年度国有资产管理情况报告。</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三十五</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文物资源资产管理情况年度报告主要内容包括：</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（一）文物资源资产的</w:t>
      </w:r>
      <w:r>
        <w:rPr>
          <w:rFonts w:ascii="CESI宋体-GB2312" w:eastAsia="仿宋_GB2312" w:cs="仿宋_GB2312" w:hAnsi="CESI宋体-GB2312" w:hint="eastAsia"/>
          <w:color w:val="auto"/>
          <w:spacing w:val="6"/>
          <w:sz w:val="32"/>
          <w:szCs w:val="32"/>
          <w:lang w:eastAsia="zh-CN" w:bidi="ar-SA"/>
          <w:highlight w:val="auto"/>
        </w:rPr>
        <w:t>实物量与价值量及增减变动、规模、性质、分类等情况；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（二）文物资源资产相关管理制度建立和实施情况；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（三）文物资源资产</w:t>
      </w:r>
      <w:r>
        <w:rPr>
          <w:rFonts w:ascii="CESI宋体-GB2312" w:eastAsia="仿宋_GB2312" w:cs="仿宋_GB2312" w:hAnsi="CESI宋体-GB2312" w:hint="eastAsia"/>
          <w:color w:val="auto"/>
          <w:spacing w:val="6"/>
          <w:sz w:val="32"/>
          <w:szCs w:val="32"/>
          <w:lang w:eastAsia="zh-CN" w:bidi="ar-SA"/>
          <w:highlight w:val="auto"/>
        </w:rPr>
        <w:t>取得、保管保护、研究利用和收入</w:t>
      </w:r>
      <w:r>
        <w:rPr>
          <w:rFonts w:ascii="CESI宋体-GB2312" w:eastAsia="仿宋_GB2312" w:cs="仿宋_GB2312" w:hAnsi="CESI宋体-GB2312" w:hint="eastAsia"/>
          <w:color w:val="auto"/>
          <w:spacing w:val="6"/>
          <w:sz w:val="32"/>
          <w:szCs w:val="32"/>
          <w:lang w:bidi="ar-SA"/>
          <w:highlight w:val="auto"/>
        </w:rPr>
        <w:t>情况；</w:t>
      </w:r>
    </w:p>
    <w:p>
      <w:pPr>
        <w:keepNext w:val="0"/>
        <w:keepLines w:val="0"/>
        <w:pageBreakBefore w:val="0"/>
        <w:widowControl w:val="0"/>
        <w:suppressLineNumbers w:val="0"/>
        <w:pBdr>
          <w:top w:val="none" w:sz="0" w:space="0" w:color="auto"/>
          <w:bottom w:val="none" w:sz="0" w:space="0" w:color="auto"/>
        </w:pBdr>
        <w:shd w:val="clear" w:color="auto" w:fill="auto"/>
        <w:kinsoku/>
        <w:wordWrap/>
        <w:overflowPunct w:val="0"/>
        <w:topLinePunct w:val="0"/>
        <w:autoSpaceDE/>
        <w:autoSpaceDN/>
        <w:bidi w:val="0"/>
        <w:adjustRightInd/>
        <w:snapToGrid/>
        <w:spacing w:before="0" w:beforeAutospacing="0" w:after="0" w:afterAutospacing="0" w:line="596" w:lineRule="exact"/>
        <w:ind w:right="0" w:firstLine="641"/>
        <w:jc w:val="both"/>
        <w:textAlignment w:val="auto"/>
        <w:rPr>
          <w:rFonts w:ascii="CESI宋体-GB2312" w:eastAsia="仿宋_GB2312" w:cs="仿宋_GB2312" w:hAnsi="CESI宋体-GB2312" w:hint="eastAsia"/>
          <w:color w:val="auto"/>
          <w:spacing w:val="6"/>
          <w:kern w:val="0"/>
          <w:sz w:val="32"/>
          <w:szCs w:val="32"/>
          <w:lang w:val="en-US" w:eastAsia="zh-CN" w:bidi="ar-SA"/>
          <w:highlight w:val="auto"/>
        </w:rPr>
      </w:pPr>
      <w:r>
        <w:rPr>
          <w:rFonts w:ascii="CESI宋体-GB2312" w:eastAsia="仿宋_GB2312" w:cs="仿宋_GB2312" w:hAnsi="CESI宋体-GB2312" w:hint="eastAsia"/>
          <w:color w:val="auto"/>
          <w:spacing w:val="6"/>
          <w:kern w:val="0"/>
          <w:sz w:val="32"/>
          <w:szCs w:val="32"/>
          <w:lang w:val="en-US" w:eastAsia="zh-CN" w:bidi="ar-SA"/>
          <w:highlight w:val="auto"/>
        </w:rPr>
        <w:t>（四）</w:t>
      </w:r>
      <w:r>
        <w:rPr>
          <w:rFonts w:ascii="CESI宋体-GB2312" w:eastAsia="仿宋_GB2312" w:cs="仿宋_GB2312" w:hAnsi="CESI宋体-GB2312" w:hint="eastAsia"/>
          <w:color w:val="auto"/>
          <w:spacing w:val="6"/>
          <w:kern w:val="2"/>
          <w:sz w:val="32"/>
          <w:szCs w:val="32"/>
          <w:lang w:val="en-US" w:eastAsia="zh-CN" w:bidi="ar-SA"/>
          <w:highlight w:val="auto"/>
        </w:rPr>
        <w:t>文物资源资产调拨、拆除、损毁、丢失、管理信息变动等情况；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b/>
          <w:bCs/>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（五）其他需要报告的事项。</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第三十</w:t>
      </w:r>
      <w:r>
        <w:rPr>
          <w:rFonts w:ascii="CESI宋体-GB2312" w:eastAsia="黑体" w:cs="黑体" w:hAnsi="CESI宋体-GB2312" w:hint="eastAsia"/>
          <w:color w:val="auto"/>
          <w:spacing w:val="6"/>
          <w:sz w:val="32"/>
          <w:szCs w:val="32"/>
          <w:lang w:eastAsia="zh-CN" w:bidi="ar-SA"/>
          <w:highlight w:val="auto"/>
        </w:rPr>
        <w:t>六</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管理收藏单位应当</w:t>
      </w:r>
      <w:r>
        <w:rPr>
          <w:rFonts w:ascii="CESI宋体-GB2312" w:eastAsia="仿宋_GB2312" w:cs="仿宋_GB2312" w:hAnsi="CESI宋体-GB2312" w:hint="eastAsia"/>
          <w:color w:val="auto"/>
          <w:spacing w:val="6"/>
          <w:sz w:val="32"/>
          <w:szCs w:val="32"/>
          <w:lang w:eastAsia="zh-CN" w:bidi="ar-SA"/>
          <w:highlight w:val="auto"/>
        </w:rPr>
        <w:t>将文物资源资产管理情况纳入本单位财务报告和国有资产年度报告，按照规定程序</w:t>
      </w:r>
      <w:r>
        <w:rPr>
          <w:rFonts w:ascii="CESI宋体-GB2312" w:eastAsia="仿宋_GB2312" w:cs="仿宋_GB2312" w:hAnsi="CESI宋体-GB2312" w:hint="eastAsia"/>
          <w:color w:val="auto"/>
          <w:spacing w:val="6"/>
          <w:sz w:val="32"/>
          <w:szCs w:val="32"/>
          <w:lang w:bidi="ar-SA"/>
          <w:highlight w:val="auto"/>
        </w:rPr>
        <w:t>报送上级文物行政部门或其他主管部门，并对报告的真实性、准确性和完整性负责。</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hAnsi="CESI宋体-GB2312"/>
          <w:sz w:val="32"/>
          <w:szCs w:val="32"/>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三十七</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hAnsi="CESI宋体-GB2312"/>
          <w:sz w:val="32"/>
          <w:szCs w:val="32"/>
        </w:rPr>
        <w:t>市</w:t>
      </w:r>
      <w:r>
        <w:rPr>
          <w:rFonts w:ascii="CESI宋体-GB2312" w:eastAsia="仿宋_GB2312" w:hAnsi="CESI宋体-GB2312" w:hint="eastAsia"/>
          <w:sz w:val="32"/>
          <w:szCs w:val="32"/>
          <w:lang w:eastAsia="zh-CN"/>
          <w:highlight w:val="auto"/>
        </w:rPr>
        <w:t>级</w:t>
      </w:r>
      <w:r>
        <w:rPr>
          <w:rFonts w:ascii="CESI宋体-GB2312" w:eastAsia="仿宋_GB2312" w:hAnsi="CESI宋体-GB2312"/>
          <w:sz w:val="32"/>
          <w:szCs w:val="32"/>
          <w:highlight w:val="auto"/>
        </w:rPr>
        <w:t>文物</w:t>
      </w:r>
      <w:r>
        <w:rPr>
          <w:rFonts w:ascii="CESI宋体-GB2312" w:eastAsia="仿宋_GB2312" w:hAnsi="CESI宋体-GB2312" w:hint="eastAsia"/>
          <w:sz w:val="32"/>
          <w:szCs w:val="32"/>
          <w:lang w:eastAsia="zh-CN"/>
          <w:highlight w:val="auto"/>
        </w:rPr>
        <w:t>行政部门</w:t>
      </w:r>
      <w:r>
        <w:rPr>
          <w:rFonts w:ascii="CESI宋体-GB2312" w:eastAsia="仿宋_GB2312" w:hAnsi="CESI宋体-GB2312"/>
          <w:sz w:val="32"/>
          <w:szCs w:val="32"/>
          <w:highlight w:val="auto"/>
        </w:rPr>
        <w:t>负责确定文物资源资产数据的采集渠道、填报口径和量价统计方法</w:t>
      </w:r>
      <w:r>
        <w:rPr>
          <w:rFonts w:ascii="CESI宋体-GB2312" w:eastAsia="仿宋_GB2312" w:hAnsi="CESI宋体-GB2312" w:hint="eastAsia"/>
          <w:sz w:val="32"/>
          <w:szCs w:val="32"/>
          <w:lang w:eastAsia="zh-CN"/>
          <w:highlight w:val="auto"/>
        </w:rPr>
        <w:t>；配合</w:t>
      </w:r>
      <w:r>
        <w:rPr>
          <w:rFonts w:ascii="CESI宋体-GB2312" w:eastAsia="仿宋_GB2312" w:hAnsi="CESI宋体-GB2312" w:hint="eastAsia"/>
          <w:sz w:val="32"/>
          <w:szCs w:val="32"/>
          <w:lang w:eastAsia="zh-CN"/>
        </w:rPr>
        <w:t>市</w:t>
      </w:r>
      <w:r>
        <w:rPr>
          <w:rFonts w:ascii="CESI宋体-GB2312" w:eastAsia="仿宋_GB2312" w:hAnsi="CESI宋体-GB2312" w:hint="eastAsia"/>
          <w:sz w:val="32"/>
          <w:szCs w:val="32"/>
          <w:lang w:eastAsia="zh-CN"/>
          <w:highlight w:val="auto"/>
        </w:rPr>
        <w:t>级财政部门开展全</w:t>
      </w:r>
      <w:r>
        <w:rPr>
          <w:rFonts w:ascii="CESI宋体-GB2312" w:eastAsia="仿宋_GB2312" w:hAnsi="CESI宋体-GB2312" w:hint="eastAsia"/>
          <w:sz w:val="32"/>
          <w:szCs w:val="32"/>
          <w:lang w:eastAsia="zh-CN"/>
        </w:rPr>
        <w:t>市</w:t>
      </w:r>
      <w:r>
        <w:rPr>
          <w:rFonts w:ascii="CESI宋体-GB2312" w:eastAsia="仿宋_GB2312" w:hAnsi="CESI宋体-GB2312" w:hint="eastAsia"/>
          <w:sz w:val="32"/>
          <w:szCs w:val="32"/>
          <w:lang w:eastAsia="zh-CN"/>
          <w:highlight w:val="auto"/>
        </w:rPr>
        <w:t>年度文物资源</w:t>
      </w:r>
      <w:r>
        <w:rPr>
          <w:rFonts w:ascii="CESI宋体-GB2312" w:eastAsia="仿宋_GB2312" w:hAnsi="CESI宋体-GB2312"/>
          <w:sz w:val="32"/>
          <w:szCs w:val="32"/>
          <w:highlight w:val="auto"/>
        </w:rPr>
        <w:t>资产数据编报、汇总</w:t>
      </w:r>
      <w:r>
        <w:rPr>
          <w:rFonts w:ascii="CESI宋体-GB2312" w:eastAsia="仿宋_GB2312" w:hAnsi="CESI宋体-GB2312" w:hint="eastAsia"/>
          <w:sz w:val="32"/>
          <w:szCs w:val="32"/>
          <w:lang w:eastAsia="zh-CN"/>
          <w:highlight w:val="auto"/>
        </w:rPr>
        <w:t>、审核等</w:t>
      </w:r>
      <w:r>
        <w:rPr>
          <w:rFonts w:ascii="CESI宋体-GB2312" w:eastAsia="仿宋_GB2312" w:hAnsi="CESI宋体-GB2312"/>
          <w:sz w:val="32"/>
          <w:szCs w:val="32"/>
          <w:highlight w:val="auto"/>
        </w:rPr>
        <w:t>工作</w:t>
      </w:r>
      <w:r>
        <w:rPr>
          <w:rFonts w:ascii="CESI宋体-GB2312" w:eastAsia="仿宋_GB2312" w:hAnsi="CESI宋体-GB2312" w:hint="eastAsia"/>
          <w:sz w:val="32"/>
          <w:szCs w:val="32"/>
          <w:lang w:eastAsia="zh-CN"/>
          <w:highlight w:val="auto"/>
        </w:rPr>
        <w:t>；</w:t>
      </w:r>
      <w:r>
        <w:rPr>
          <w:rFonts w:ascii="CESI宋体-GB2312" w:eastAsia="仿宋_GB2312" w:hAnsi="CESI宋体-GB2312"/>
          <w:sz w:val="32"/>
          <w:szCs w:val="32"/>
          <w:highlight w:val="auto"/>
        </w:rPr>
        <w:t>向</w:t>
      </w:r>
      <w:r>
        <w:rPr>
          <w:rFonts w:ascii="CESI宋体-GB2312" w:eastAsia="仿宋_GB2312" w:hAnsi="CESI宋体-GB2312" w:hint="eastAsia"/>
          <w:sz w:val="32"/>
          <w:szCs w:val="32"/>
          <w:lang w:eastAsia="zh-CN"/>
        </w:rPr>
        <w:t>市</w:t>
      </w:r>
      <w:r>
        <w:rPr>
          <w:rFonts w:ascii="CESI宋体-GB2312" w:eastAsia="仿宋_GB2312" w:hAnsi="CESI宋体-GB2312" w:hint="eastAsia"/>
          <w:sz w:val="32"/>
          <w:szCs w:val="32"/>
          <w:lang w:eastAsia="zh-CN"/>
          <w:highlight w:val="auto"/>
        </w:rPr>
        <w:t>级财政部门提供全</w:t>
      </w:r>
      <w:r>
        <w:rPr>
          <w:rFonts w:ascii="CESI宋体-GB2312" w:eastAsia="仿宋_GB2312" w:hAnsi="CESI宋体-GB2312" w:hint="eastAsia"/>
          <w:sz w:val="32"/>
          <w:szCs w:val="32"/>
          <w:lang w:eastAsia="zh-CN"/>
        </w:rPr>
        <w:t>市</w:t>
      </w:r>
      <w:r>
        <w:rPr>
          <w:rFonts w:ascii="CESI宋体-GB2312" w:eastAsia="仿宋_GB2312" w:hAnsi="CESI宋体-GB2312"/>
          <w:sz w:val="32"/>
          <w:szCs w:val="32"/>
          <w:highlight w:val="auto"/>
        </w:rPr>
        <w:t>文物资源资产</w:t>
      </w:r>
      <w:r>
        <w:rPr>
          <w:rFonts w:ascii="CESI宋体-GB2312" w:eastAsia="仿宋_GB2312" w:hAnsi="CESI宋体-GB2312" w:hint="eastAsia"/>
          <w:sz w:val="32"/>
          <w:szCs w:val="32"/>
          <w:lang w:eastAsia="zh-CN"/>
          <w:highlight w:val="auto"/>
        </w:rPr>
        <w:t>相关</w:t>
      </w:r>
      <w:r>
        <w:rPr>
          <w:rFonts w:ascii="CESI宋体-GB2312" w:eastAsia="仿宋_GB2312" w:hAnsi="CESI宋体-GB2312"/>
          <w:sz w:val="32"/>
          <w:szCs w:val="32"/>
          <w:highlight w:val="auto"/>
        </w:rPr>
        <w:t>数据。</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hAnsi="CESI宋体-GB2312" w:hint="eastAsia"/>
          <w:sz w:val="32"/>
          <w:szCs w:val="32"/>
          <w:lang w:eastAsia="zh-CN"/>
          <w:highlight w:val="auto"/>
        </w:rPr>
        <w:t>各级</w:t>
      </w:r>
      <w:r>
        <w:rPr>
          <w:rFonts w:ascii="CESI宋体-GB2312" w:eastAsia="仿宋_GB2312" w:cs="仿宋_GB2312" w:hAnsi="CESI宋体-GB2312" w:hint="eastAsia"/>
          <w:color w:val="auto"/>
          <w:spacing w:val="6"/>
          <w:sz w:val="32"/>
          <w:szCs w:val="32"/>
          <w:lang w:bidi="ar-SA"/>
          <w:highlight w:val="auto"/>
        </w:rPr>
        <w:t>文物行政部门和其他主管部门应当根据国有资产报告制度规定，审核汇总所属管理收藏单位文物资源资产管理情况，并报送同级财政部门。</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hAnsi="CESI宋体-GB2312"/>
          <w:sz w:val="32"/>
          <w:szCs w:val="32"/>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三十八</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val="en-US" w:eastAsia="zh-CN" w:bidi="ar-SA"/>
        </w:rPr>
        <w:t>市</w:t>
      </w:r>
      <w:r>
        <w:rPr>
          <w:rFonts w:ascii="CESI宋体-GB2312" w:eastAsia="仿宋_GB2312" w:cs="仿宋_GB2312" w:hAnsi="CESI宋体-GB2312" w:hint="eastAsia"/>
          <w:color w:val="auto"/>
          <w:spacing w:val="6"/>
          <w:sz w:val="32"/>
          <w:szCs w:val="32"/>
          <w:lang w:val="en-US" w:eastAsia="zh-CN" w:bidi="ar-SA"/>
          <w:highlight w:val="auto"/>
        </w:rPr>
        <w:t>级财政部门</w:t>
      </w:r>
      <w:r>
        <w:rPr>
          <w:rFonts w:ascii="CESI宋体-GB2312" w:eastAsia="仿宋_GB2312" w:cs="仿宋_GB2312" w:hAnsi="CESI宋体-GB2312" w:hint="eastAsia"/>
          <w:color w:val="auto"/>
          <w:spacing w:val="6"/>
          <w:sz w:val="32"/>
          <w:szCs w:val="32"/>
          <w:lang w:bidi="ar-SA"/>
          <w:highlight w:val="auto"/>
        </w:rPr>
        <w:t>负责汇总</w:t>
      </w:r>
      <w:r>
        <w:rPr>
          <w:rFonts w:ascii="CESI宋体-GB2312" w:eastAsia="仿宋_GB2312" w:cs="仿宋_GB2312" w:hAnsi="CESI宋体-GB2312" w:hint="eastAsia"/>
          <w:color w:val="auto"/>
          <w:spacing w:val="6"/>
          <w:sz w:val="32"/>
          <w:szCs w:val="32"/>
          <w:lang w:eastAsia="zh-CN" w:bidi="ar-SA"/>
          <w:highlight w:val="auto"/>
        </w:rPr>
        <w:t>全</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bidi="ar-SA"/>
          <w:highlight w:val="auto"/>
        </w:rPr>
        <w:t>文物资源资产管理情况，并纳入</w:t>
      </w:r>
      <w:r>
        <w:rPr>
          <w:rFonts w:ascii="CESI宋体-GB2312" w:eastAsia="仿宋_GB2312" w:cs="仿宋_GB2312" w:hAnsi="CESI宋体-GB2312" w:hint="eastAsia"/>
          <w:color w:val="auto"/>
          <w:spacing w:val="6"/>
          <w:sz w:val="32"/>
          <w:szCs w:val="32"/>
          <w:lang w:eastAsia="zh-CN" w:bidi="ar-SA"/>
        </w:rPr>
        <w:t>市</w:t>
      </w:r>
      <w:r>
        <w:rPr>
          <w:rFonts w:ascii="CESI宋体-GB2312" w:eastAsia="仿宋_GB2312" w:cs="仿宋_GB2312" w:hAnsi="CESI宋体-GB2312" w:hint="eastAsia"/>
          <w:color w:val="auto"/>
          <w:spacing w:val="6"/>
          <w:sz w:val="32"/>
          <w:szCs w:val="32"/>
          <w:lang w:bidi="ar-SA"/>
          <w:highlight w:val="auto"/>
        </w:rPr>
        <w:t>政府年度国有资产报告</w:t>
      </w:r>
      <w:r>
        <w:rPr>
          <w:rFonts w:ascii="CESI宋体-GB2312" w:eastAsia="仿宋_GB2312" w:cs="仿宋_GB2312" w:hAnsi="CESI宋体-GB2312" w:hint="eastAsia"/>
          <w:color w:val="auto"/>
          <w:spacing w:val="6"/>
          <w:sz w:val="32"/>
          <w:szCs w:val="32"/>
          <w:lang w:eastAsia="zh-CN" w:bidi="ar-SA"/>
          <w:highlight w:val="auto"/>
        </w:rPr>
        <w:t>，</w:t>
      </w:r>
      <w:r>
        <w:rPr>
          <w:rFonts w:ascii="CESI宋体-GB2312" w:eastAsia="仿宋_GB2312" w:cs="仿宋_GB2312" w:hAnsi="CESI宋体-GB2312" w:hint="eastAsia"/>
          <w:color w:val="auto"/>
          <w:spacing w:val="6"/>
          <w:sz w:val="32"/>
          <w:szCs w:val="32"/>
          <w:lang w:bidi="ar-SA"/>
          <w:highlight w:val="auto"/>
        </w:rPr>
        <w:t>同时按照规定程序报送</w:t>
      </w:r>
      <w:r>
        <w:rPr>
          <w:rFonts w:ascii="CESI宋体-GB2312" w:eastAsia="仿宋_GB2312" w:cs="仿宋_GB2312" w:hAnsi="CESI宋体-GB2312"/>
          <w:color w:val="auto"/>
          <w:spacing w:val="6"/>
          <w:sz w:val="32"/>
          <w:szCs w:val="32"/>
          <w:lang w:eastAsia="zh-CN" w:bidi="ar-SA"/>
          <w:highlight w:val="auto"/>
        </w:rPr>
        <w:t>省财政厅</w:t>
      </w:r>
      <w:r>
        <w:rPr>
          <w:rFonts w:ascii="CESI宋体-GB2312" w:eastAsia="仿宋_GB2312" w:hAnsi="CESI宋体-GB2312"/>
          <w:sz w:val="32"/>
          <w:szCs w:val="32"/>
          <w:highlight w:val="auto"/>
        </w:rPr>
        <w:t>。</w:t>
      </w:r>
    </w:p>
    <w:p>
      <w:pPr>
        <w:pStyle w:val="82"/>
        <w:keepNext w:val="0"/>
        <w:keepLines w:val="0"/>
        <w:pageBreakBefore w:val="0"/>
        <w:widowControl w:val="0"/>
        <w:pBdr>
          <w:top w:val="none" w:sz="0" w:space="0" w:color="auto"/>
          <w:bottom w:val="none" w:sz="0" w:space="0" w:color="auto"/>
        </w:pBdr>
        <w:bidi w:val="0"/>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eastAsia="黑体" w:cs="黑体"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七</w:t>
      </w:r>
      <w:r>
        <w:rPr>
          <w:rFonts w:ascii="CESI宋体-GB2312" w:eastAsia="黑体" w:cs="黑体" w:hAnsi="CESI宋体-GB2312" w:hint="eastAsia"/>
          <w:color w:val="auto"/>
          <w:spacing w:val="6"/>
          <w:sz w:val="32"/>
          <w:szCs w:val="32"/>
          <w:lang w:bidi="ar-SA"/>
          <w:highlight w:val="auto"/>
        </w:rPr>
        <w:t>章</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 xml:space="preserve"> 监督检查</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三十九</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财政部门、文物行政部门</w:t>
      </w:r>
      <w:r>
        <w:rPr>
          <w:rFonts w:ascii="CESI宋体-GB2312" w:eastAsia="仿宋_GB2312" w:cs="仿宋_GB2312" w:hAnsi="CESI宋体-GB2312" w:hint="eastAsia"/>
          <w:color w:val="auto"/>
          <w:spacing w:val="6"/>
          <w:sz w:val="32"/>
          <w:szCs w:val="32"/>
          <w:lang w:eastAsia="zh-CN" w:bidi="ar-SA"/>
          <w:highlight w:val="auto"/>
        </w:rPr>
        <w:t>和其他主管部门</w:t>
      </w:r>
      <w:r>
        <w:rPr>
          <w:rFonts w:ascii="CESI宋体-GB2312" w:eastAsia="仿宋_GB2312" w:cs="仿宋_GB2312" w:hAnsi="CESI宋体-GB2312" w:hint="eastAsia"/>
          <w:color w:val="auto"/>
          <w:spacing w:val="6"/>
          <w:sz w:val="32"/>
          <w:szCs w:val="32"/>
          <w:lang w:bidi="ar-SA"/>
          <w:highlight w:val="auto"/>
        </w:rPr>
        <w:t>可以根据工作需要，定期或不定期开展文物资源资产管理专项监督检查。</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四十</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文物资源资产管理专项监督检查的主要内容包括：</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（一）文物资源资产登记入账核算情况；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（二）文物资源资产管理保护和研究利用情况；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（三）文物资源资产</w:t>
      </w:r>
      <w:r>
        <w:rPr>
          <w:rFonts w:ascii="CESI宋体-GB2312" w:eastAsia="仿宋_GB2312" w:cs="仿宋_GB2312" w:hAnsi="CESI宋体-GB2312" w:hint="eastAsia"/>
          <w:color w:val="auto"/>
          <w:spacing w:val="6"/>
          <w:sz w:val="32"/>
          <w:szCs w:val="32"/>
          <w:lang w:eastAsia="zh-CN" w:bidi="ar-SA"/>
          <w:highlight w:val="auto"/>
        </w:rPr>
        <w:t>拆除减损等情况</w:t>
      </w:r>
      <w:r>
        <w:rPr>
          <w:rFonts w:ascii="CESI宋体-GB2312" w:eastAsia="仿宋_GB2312" w:cs="仿宋_GB2312" w:hAnsi="CESI宋体-GB2312" w:hint="eastAsia"/>
          <w:color w:val="auto"/>
          <w:spacing w:val="6"/>
          <w:sz w:val="32"/>
          <w:szCs w:val="32"/>
          <w:lang w:bidi="ar-SA"/>
          <w:highlight w:val="auto"/>
        </w:rPr>
        <w:t>；</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（四）文物资源资产收支管理情况；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仿宋_GB2312" w:cs="仿宋_GB2312" w:hAnsi="CESI宋体-GB2312" w:hint="eastAsia"/>
          <w:color w:val="auto"/>
          <w:spacing w:val="6"/>
          <w:sz w:val="32"/>
          <w:szCs w:val="32"/>
          <w:lang w:eastAsia="zh-CN" w:bidi="ar-SA"/>
          <w:highlight w:val="auto"/>
        </w:rPr>
        <w:t>（五）文物资源资产安全管理情况；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仿宋_GB2312" w:cs="仿宋_GB2312" w:hAnsi="CESI宋体-GB2312" w:hint="eastAsia"/>
          <w:color w:val="auto"/>
          <w:spacing w:val="6"/>
          <w:sz w:val="32"/>
          <w:szCs w:val="32"/>
          <w:lang w:bidi="ar-SA"/>
          <w:highlight w:val="auto"/>
        </w:rPr>
        <w:t>（</w:t>
      </w:r>
      <w:r>
        <w:rPr>
          <w:rFonts w:ascii="CESI宋体-GB2312" w:eastAsia="仿宋_GB2312" w:cs="仿宋_GB2312" w:hAnsi="CESI宋体-GB2312" w:hint="eastAsia"/>
          <w:color w:val="auto"/>
          <w:spacing w:val="6"/>
          <w:sz w:val="32"/>
          <w:szCs w:val="32"/>
          <w:lang w:eastAsia="zh-CN" w:bidi="ar-SA"/>
          <w:highlight w:val="auto"/>
        </w:rPr>
        <w:t>六</w:t>
      </w:r>
      <w:r>
        <w:rPr>
          <w:rFonts w:ascii="CESI宋体-GB2312" w:eastAsia="仿宋_GB2312" w:cs="仿宋_GB2312" w:hAnsi="CESI宋体-GB2312" w:hint="eastAsia"/>
          <w:color w:val="auto"/>
          <w:spacing w:val="6"/>
          <w:sz w:val="32"/>
          <w:szCs w:val="32"/>
          <w:lang w:bidi="ar-SA"/>
          <w:highlight w:val="auto"/>
        </w:rPr>
        <w:t>）其他需要监督检查的情况。</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1"/>
        <w:jc w:val="both"/>
        <w:textAlignment w:val="auto"/>
        <w:rPr>
          <w:rFonts w:ascii="CESI宋体-GB2312" w:eastAsia="仿宋_GB2312" w:cs="仿宋_GB2312" w:hAnsi="CESI宋体-GB2312"/>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四十一</w:t>
      </w:r>
      <w:r>
        <w:rPr>
          <w:rFonts w:ascii="CESI宋体-GB2312" w:eastAsia="黑体" w:cs="黑体" w:hAnsi="CESI宋体-GB2312" w:hint="eastAsia"/>
          <w:color w:val="auto"/>
          <w:spacing w:val="6"/>
          <w:sz w:val="32"/>
          <w:szCs w:val="32"/>
          <w:lang w:bidi="ar-SA"/>
          <w:highlight w:val="auto"/>
        </w:rPr>
        <w:t xml:space="preserve">条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财政部门、文物行政部门、其他主管部门、管理收藏单位及其工作人员违反本办法规定，在文物资源资产监管工作中存在滥用职权、玩忽职守、徇私舞弊等违纪违法行为的，按照《中华人民共和国文物保护法》《中华人民共和国公务员法》《中华人民共和国监察法》《中华人民共和国会计法》《财政违法行为处罚处分条例》等追究相应责任；构成犯罪的，依法追究刑事责任。</w:t>
      </w:r>
    </w:p>
    <w:p>
      <w:pPr>
        <w:pStyle w:val="82"/>
        <w:keepNext w:val="0"/>
        <w:keepLines w:val="0"/>
        <w:pageBreakBefore w:val="0"/>
        <w:widowControl w:val="0"/>
        <w:pBdr>
          <w:top w:val="none" w:sz="0" w:space="0" w:color="auto"/>
          <w:bottom w:val="none" w:sz="0" w:space="0" w:color="auto"/>
        </w:pBdr>
        <w:bidi w:val="0"/>
      </w:pP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0"/>
        <w:jc w:val="center"/>
        <w:textAlignment w:val="auto"/>
        <w:rPr>
          <w:rFonts w:ascii="CESI宋体-GB2312" w:eastAsia="黑体" w:cs="黑体"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八</w:t>
      </w:r>
      <w:r>
        <w:rPr>
          <w:rFonts w:ascii="CESI宋体-GB2312" w:eastAsia="黑体" w:cs="黑体" w:hAnsi="CESI宋体-GB2312" w:hint="eastAsia"/>
          <w:color w:val="auto"/>
          <w:spacing w:val="6"/>
          <w:sz w:val="32"/>
          <w:szCs w:val="32"/>
          <w:lang w:bidi="ar-SA"/>
          <w:highlight w:val="auto"/>
        </w:rPr>
        <w:t>章</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 xml:space="preserve"> 附</w:t>
      </w:r>
      <w:r>
        <w:rPr>
          <w:rFonts w:ascii="CESI宋体-GB2312" w:eastAsia="黑体" w:cs="黑体" w:hAnsi="CESI宋体-GB2312" w:hint="eastAsia"/>
          <w:color w:val="auto"/>
          <w:spacing w:val="6"/>
          <w:sz w:val="32"/>
          <w:szCs w:val="32"/>
          <w:lang w:val="en-US" w:eastAsia="zh-CN" w:bidi="ar-SA"/>
          <w:highlight w:val="auto"/>
        </w:rPr>
        <w:t xml:space="preserve">    </w:t>
      </w:r>
      <w:r>
        <w:rPr>
          <w:rFonts w:ascii="CESI宋体-GB2312" w:eastAsia="黑体" w:cs="黑体" w:hAnsi="CESI宋体-GB2312" w:hint="eastAsia"/>
          <w:color w:val="auto"/>
          <w:spacing w:val="6"/>
          <w:sz w:val="32"/>
          <w:szCs w:val="32"/>
          <w:lang w:bidi="ar-SA"/>
          <w:highlight w:val="auto"/>
        </w:rPr>
        <w:t>则</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四十二</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bidi="ar-SA"/>
          <w:highlight w:val="auto"/>
        </w:rPr>
        <w:t xml:space="preserve"> </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已归类为</w:t>
      </w:r>
      <w:r>
        <w:rPr>
          <w:rFonts w:ascii="CESI宋体-GB2312" w:eastAsia="仿宋_GB2312" w:cs="仿宋_GB2312" w:hAnsi="CESI宋体-GB2312" w:hint="eastAsia"/>
          <w:color w:val="auto"/>
          <w:spacing w:val="6"/>
          <w:sz w:val="32"/>
          <w:szCs w:val="32"/>
          <w:lang w:eastAsia="zh-CN" w:bidi="ar-SA"/>
          <w:highlight w:val="auto"/>
        </w:rPr>
        <w:t>固定</w:t>
      </w:r>
      <w:r>
        <w:rPr>
          <w:rFonts w:ascii="CESI宋体-GB2312" w:eastAsia="仿宋_GB2312" w:cs="仿宋_GB2312" w:hAnsi="CESI宋体-GB2312" w:hint="eastAsia"/>
          <w:color w:val="auto"/>
          <w:spacing w:val="6"/>
          <w:sz w:val="32"/>
          <w:szCs w:val="32"/>
          <w:lang w:bidi="ar-SA"/>
          <w:highlight w:val="auto"/>
        </w:rPr>
        <w:t>资产的文物，按照本办法规定执行。</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40"/>
        <w:jc w:val="both"/>
        <w:textAlignment w:val="auto"/>
        <w:rPr>
          <w:rFonts w:ascii="CESI宋体-GB2312" w:eastAsia="仿宋_GB2312" w:cs="仿宋_GB2312" w:hAnsi="CESI宋体-GB2312" w:hint="eastAsia"/>
          <w:color w:val="auto"/>
          <w:spacing w:val="6"/>
          <w:sz w:val="32"/>
          <w:szCs w:val="32"/>
          <w:lang w:eastAsia="zh-CN" w:bidi="ar-SA"/>
          <w:highlight w:val="auto"/>
        </w:rPr>
      </w:pPr>
      <w:r>
        <w:rPr>
          <w:rFonts w:ascii="CESI宋体-GB2312" w:eastAsia="黑体" w:cs="黑体" w:hAnsi="CESI宋体-GB2312" w:hint="eastAsia"/>
          <w:color w:val="auto"/>
          <w:spacing w:val="6"/>
          <w:sz w:val="32"/>
          <w:szCs w:val="32"/>
          <w:lang w:bidi="ar-SA"/>
          <w:highlight w:val="auto"/>
        </w:rPr>
        <w:t>第</w:t>
      </w:r>
      <w:r>
        <w:rPr>
          <w:rFonts w:ascii="CESI宋体-GB2312" w:eastAsia="黑体" w:cs="黑体" w:hAnsi="CESI宋体-GB2312" w:hint="eastAsia"/>
          <w:color w:val="auto"/>
          <w:spacing w:val="6"/>
          <w:sz w:val="32"/>
          <w:szCs w:val="32"/>
          <w:lang w:eastAsia="zh-CN" w:bidi="ar-SA"/>
          <w:highlight w:val="auto"/>
        </w:rPr>
        <w:t>四十三</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eastAsia="zh-CN" w:bidi="ar-SA"/>
          <w:highlight w:val="auto"/>
        </w:rPr>
        <w:t>国有企业、管理收藏国有文物的民间非营利组织管理国有文物资源资产的活动，参照本办法规定执行。</w:t>
      </w:r>
    </w:p>
    <w:p>
      <w:pPr>
        <w:keepNext w:val="0"/>
        <w:keepLines w:val="0"/>
        <w:pageBreakBefore w:val="0"/>
        <w:widowControl w:val="0"/>
        <w:pBdr>
          <w:top w:val="none" w:sz="0" w:space="0" w:color="auto"/>
          <w:bottom w:val="none" w:sz="0" w:space="0" w:color="auto"/>
        </w:pBdr>
        <w:kinsoku/>
        <w:wordWrap/>
        <w:overflowPunct w:val="0"/>
        <w:topLinePunct w:val="0"/>
        <w:autoSpaceDE/>
        <w:autoSpaceDN/>
        <w:bidi w:val="0"/>
        <w:adjustRightInd/>
        <w:snapToGrid/>
        <w:spacing w:after="0" w:line="596" w:lineRule="exact"/>
        <w:ind w:firstLine="689"/>
        <w:jc w:val="both"/>
        <w:textAlignment w:val="auto"/>
        <w:rPr>
          <w:rFonts w:ascii="CESI宋体-GB2312" w:eastAsia="仿宋_GB2312" w:cs="仿宋_GB2312" w:hAnsi="CESI宋体-GB2312"/>
          <w:color w:val="auto"/>
          <w:spacing w:val="6"/>
          <w:sz w:val="32"/>
          <w:szCs w:val="32"/>
          <w:lang w:bidi="ar-SA"/>
          <w:highlight w:val="auto"/>
        </w:rPr>
      </w:pPr>
      <w:r>
        <w:rPr>
          <w:rFonts w:ascii="CESI宋体-GB2312" w:eastAsia="黑体" w:cs="黑体" w:hAnsi="CESI宋体-GB2312" w:hint="eastAsia"/>
          <w:color w:val="auto"/>
          <w:spacing w:val="6"/>
          <w:sz w:val="32"/>
          <w:szCs w:val="32"/>
          <w:lang w:bidi="ar-SA"/>
          <w:highlight w:val="auto"/>
        </w:rPr>
        <w:t>第四十</w:t>
      </w:r>
      <w:r>
        <w:rPr>
          <w:rFonts w:ascii="CESI宋体-GB2312" w:eastAsia="黑体" w:cs="黑体" w:hAnsi="CESI宋体-GB2312" w:hint="eastAsia"/>
          <w:color w:val="auto"/>
          <w:spacing w:val="6"/>
          <w:sz w:val="32"/>
          <w:szCs w:val="32"/>
          <w:lang w:eastAsia="zh-CN" w:bidi="ar-SA"/>
          <w:highlight w:val="auto"/>
        </w:rPr>
        <w:t>四</w:t>
      </w:r>
      <w:r>
        <w:rPr>
          <w:rFonts w:ascii="CESI宋体-GB2312" w:eastAsia="黑体" w:cs="黑体" w:hAnsi="CESI宋体-GB2312" w:hint="eastAsia"/>
          <w:color w:val="auto"/>
          <w:spacing w:val="6"/>
          <w:sz w:val="32"/>
          <w:szCs w:val="32"/>
          <w:lang w:bidi="ar-SA"/>
          <w:highlight w:val="auto"/>
        </w:rPr>
        <w:t>条</w:t>
      </w:r>
      <w:r>
        <w:rPr>
          <w:rFonts w:ascii="CESI宋体-GB2312" w:eastAsia="仿宋_GB2312" w:cs="仿宋_GB2312" w:hAnsi="CESI宋体-GB2312" w:hint="eastAsia"/>
          <w:b/>
          <w:bCs/>
          <w:color w:val="auto"/>
          <w:spacing w:val="6"/>
          <w:sz w:val="32"/>
          <w:szCs w:val="32"/>
          <w:lang w:val="en-US" w:eastAsia="zh-CN" w:bidi="ar-SA"/>
          <w:highlight w:val="auto"/>
        </w:rPr>
        <w:t xml:space="preserve"> </w:t>
      </w:r>
      <w:r>
        <w:rPr>
          <w:rFonts w:ascii="CESI宋体-GB2312" w:eastAsia="仿宋_GB2312" w:cs="仿宋_GB2312" w:hAnsi="CESI宋体-GB2312" w:hint="eastAsia"/>
          <w:color w:val="auto"/>
          <w:spacing w:val="6"/>
          <w:sz w:val="32"/>
          <w:szCs w:val="32"/>
          <w:lang w:bidi="ar-SA"/>
          <w:highlight w:val="auto"/>
        </w:rPr>
        <w:t xml:space="preserve"> 本办法自印发之日起施行。</w:t>
      </w:r>
    </w:p>
    <w:p>
      <w:pPr>
        <w:pStyle w:val="82"/>
        <w:keepNext w:val="0"/>
        <w:keepLines w:val="0"/>
        <w:pageBreakBefore w:val="0"/>
        <w:widowControl w:val="0"/>
        <w:pBdr>
          <w:top w:val="none" w:sz="0" w:space="0" w:color="auto"/>
          <w:bottom w:val="none" w:sz="0" w:space="0" w:color="auto"/>
        </w:pBdr>
        <w:bidi w:val="0"/>
        <w:ind w:firstLine="689"/>
      </w:pPr>
    </w:p>
    <w:p>
      <w:pPr>
        <w:keepNext w:val="0"/>
        <w:keepLines w:val="0"/>
        <w:pageBreakBefore w:val="0"/>
        <w:widowControl w:val="0"/>
        <w:pBdr>
          <w:top w:val="none" w:sz="0" w:space="0" w:color="auto"/>
          <w:bottom w:val="none" w:sz="0" w:space="0" w:color="auto"/>
        </w:pBdr>
        <w:kinsoku/>
        <w:wordWrap/>
        <w:overflowPunct w:val="0"/>
        <w:topLinePunct w:val="0"/>
        <w:autoSpaceDE/>
        <w:autoSpaceDN/>
        <w:adjustRightInd/>
        <w:snapToGrid/>
        <w:spacing w:line="596" w:lineRule="exact"/>
        <w:ind w:firstLine="0"/>
        <w:rPr>
          <w:rFonts w:ascii="CESI宋体-GB2312" w:eastAsia="仿宋_GB2312" w:cs="仿宋_GB2312" w:hAnsi="CESI宋体-GB2312" w:hint="eastAsia"/>
          <w:spacing w:val="6"/>
          <w:sz w:val="32"/>
          <w:szCs w:val="32"/>
          <w:lang w:val="en-US" w:eastAsia="zh-CN" w:bidi="ar-SA"/>
          <w:highlight w:val="auto"/>
        </w:rPr>
      </w:pPr>
      <w:r>
        <w:rPr>
          <w:rFonts w:ascii="CESI宋体-GB2312" w:eastAsia="仿宋_GB2312" w:cs="仿宋_GB2312" w:hAnsi="CESI宋体-GB2312" w:hint="eastAsia"/>
          <w:color w:val="auto"/>
          <w:spacing w:val="6"/>
          <w:sz w:val="32"/>
          <w:szCs w:val="32"/>
          <w:lang w:val="en-US" w:eastAsia="zh-CN" w:bidi="ar-SA"/>
          <w:highlight w:val="auto"/>
        </w:rPr>
        <w:t xml:space="preserve">    </w:t>
      </w:r>
      <w:r>
        <w:rPr>
          <w:rFonts w:ascii="CESI宋体-GB2312" w:eastAsia="仿宋_GB2312" w:cs="仿宋_GB2312" w:hAnsi="CESI宋体-GB2312" w:hint="eastAsia"/>
          <w:spacing w:val="6"/>
          <w:sz w:val="32"/>
          <w:szCs w:val="32"/>
          <w:lang w:bidi="ar-SA"/>
          <w:highlight w:val="auto"/>
        </w:rPr>
        <w:t>附</w:t>
      </w:r>
      <w:r>
        <w:rPr>
          <w:rFonts w:ascii="CESI宋体-GB2312" w:eastAsia="仿宋_GB2312" w:cs="仿宋_GB2312" w:hAnsi="CESI宋体-GB2312" w:hint="eastAsia"/>
          <w:spacing w:val="6"/>
          <w:sz w:val="32"/>
          <w:szCs w:val="32"/>
          <w:lang w:eastAsia="zh-CN" w:bidi="ar-SA"/>
          <w:highlight w:val="auto"/>
        </w:rPr>
        <w:t>：</w:t>
      </w:r>
      <w:r>
        <w:rPr>
          <w:rFonts w:ascii="CESI宋体-GB2312" w:eastAsia="仿宋_GB2312" w:cs="仿宋_GB2312" w:hAnsi="CESI宋体-GB2312" w:hint="eastAsia"/>
          <w:spacing w:val="6"/>
          <w:sz w:val="32"/>
          <w:szCs w:val="32"/>
          <w:lang w:val="en-US" w:eastAsia="zh-CN" w:bidi="ar-SA"/>
          <w:highlight w:val="auto"/>
        </w:rPr>
        <w:t>1.不可移动文物资源资产信息卡参考样式</w:t>
      </w:r>
    </w:p>
    <w:p>
      <w:pPr>
        <w:ind w:firstLineChars="400" w:firstLine="1328"/>
        <w:rPr>
          <w:rFonts w:ascii="CESI宋体-GB2312" w:hAnsi="CESI宋体-GB2312" w:hint="eastAsia"/>
        </w:rPr>
      </w:pPr>
      <w:r>
        <w:rPr>
          <w:rFonts w:ascii="CESI宋体-GB2312" w:eastAsia="仿宋_GB2312" w:cs="仿宋_GB2312" w:hAnsi="CESI宋体-GB2312" w:hint="eastAsia"/>
          <w:spacing w:val="6"/>
          <w:sz w:val="32"/>
          <w:szCs w:val="32"/>
          <w:lang w:val="en-US" w:eastAsia="zh-CN" w:bidi="ar-SA"/>
          <w:highlight w:val="auto"/>
        </w:rPr>
        <w:t>2.可移动文物资源资产信息卡参考样式</w:t>
      </w: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spacing w:val="-15"/>
          <w:sz w:val="24"/>
          <w:szCs w:val="24"/>
        </w:rPr>
      </w:pPr>
    </w:p>
    <w:p>
      <w:pPr>
        <w:spacing w:before="148" w:line="218" w:lineRule="auto"/>
        <w:rPr>
          <w:rFonts w:ascii="方正书宋_GBK" w:eastAsia="方正书宋_GBK" w:cs="SimSun" w:hint="eastAsia"/>
          <w:sz w:val="24"/>
          <w:szCs w:val="24"/>
        </w:rPr>
      </w:pPr>
      <w:r>
        <w:rPr>
          <w:rFonts w:ascii="方正书宋_GBK" w:eastAsia="方正书宋_GBK" w:cs="SimSun" w:hint="eastAsia"/>
          <w:spacing w:val="-15"/>
          <w:sz w:val="24"/>
          <w:szCs w:val="24"/>
        </w:rPr>
        <w:t>附1</w:t>
      </w:r>
    </w:p>
    <w:p>
      <w:pPr>
        <w:spacing w:before="84" w:line="218" w:lineRule="auto"/>
        <w:ind w:left="2533"/>
        <w:rPr>
          <w:rFonts w:ascii="方正书宋_GBK" w:eastAsia="方正书宋_GBK" w:cs="SimSun" w:hint="eastAsia"/>
          <w:sz w:val="28"/>
          <w:szCs w:val="28"/>
        </w:rPr>
      </w:pPr>
      <w:r>
        <w:rPr>
          <w:rFonts w:ascii="方正书宋_GBK" w:eastAsia="方正书宋_GBK" w:cs="SimSun" w:hint="eastAsia"/>
          <w:spacing w:val="-1"/>
          <w:sz w:val="28"/>
          <w:szCs w:val="28"/>
        </w:rPr>
        <w:t>不可移动文物资源资产信息卡参考样式</w:t>
      </w:r>
    </w:p>
    <w:p>
      <w:pPr>
        <w:spacing w:before="96"/>
        <w:rPr>
          <w:rFonts w:ascii="方正书宋_GBK" w:eastAsia="方正书宋_GBK" w:hint="eastAsia"/>
        </w:rPr>
      </w:pPr>
    </w:p>
    <w:p>
      <w:pPr>
        <w:spacing w:before="95"/>
        <w:rPr>
          <w:rFonts w:ascii="方正书宋_GBK" w:eastAsia="方正书宋_GBK" w:hint="eastAsia"/>
        </w:rPr>
      </w:pPr>
    </w:p>
    <w:tbl>
      <w:tblPr>
        <w:jc w:val="left"/>
        <w:tblInd w:w="2" w:type="dxa"/>
        <w:tblW w:w="987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Pr>
      <w:tblGrid>
        <w:gridCol w:w="2208"/>
        <w:gridCol w:w="2683"/>
        <w:gridCol w:w="782"/>
        <w:gridCol w:w="1677"/>
        <w:gridCol w:w="2523"/>
      </w:tblGrid>
      <w:tr>
        <w:trPr>
          <w:trHeight w:val="299"/>
        </w:trPr>
        <w:tc>
          <w:tcPr>
            <w:tcW w:w="9873" w:type="dxa"/>
            <w:gridSpan w:val="5"/>
          </w:tcPr>
          <w:p>
            <w:pPr>
              <w:spacing w:before="31" w:line="199" w:lineRule="auto"/>
              <w:ind w:left="70"/>
              <w:rPr>
                <w:rFonts w:ascii="方正书宋_GBK" w:eastAsia="方正书宋_GBK" w:cs="SimSun" w:hint="eastAsia"/>
                <w:sz w:val="24"/>
                <w:szCs w:val="24"/>
              </w:rPr>
            </w:pPr>
            <w:r>
              <w:rPr>
                <w:rFonts w:ascii="方正书宋_GBK" w:eastAsia="方正书宋_GBK" w:cs="SimSun" w:hint="eastAsia"/>
                <w:spacing w:val="-2"/>
                <w:sz w:val="24"/>
                <w:szCs w:val="24"/>
              </w:rPr>
              <w:t>基本信息</w:t>
            </w:r>
          </w:p>
        </w:tc>
      </w:tr>
      <w:tr>
        <w:trPr>
          <w:trHeight w:val="310"/>
        </w:trPr>
        <w:tc>
          <w:tcPr>
            <w:tcW w:w="2208" w:type="dxa"/>
          </w:tcPr>
          <w:p>
            <w:pPr>
              <w:spacing w:before="68"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资产编号</w:t>
            </w:r>
          </w:p>
        </w:tc>
        <w:tc>
          <w:tcPr>
            <w:tcW w:w="2683" w:type="dxa"/>
          </w:tcPr>
          <w:p>
            <w:pPr>
              <w:pStyle w:val="136"/>
              <w:rPr>
                <w:rFonts w:ascii="方正书宋_GBK" w:eastAsia="方正书宋_GBK" w:hint="eastAsia"/>
              </w:rPr>
            </w:pPr>
          </w:p>
        </w:tc>
        <w:tc>
          <w:tcPr>
            <w:tcW w:w="2459" w:type="dxa"/>
            <w:gridSpan w:val="2"/>
          </w:tcPr>
          <w:p>
            <w:pPr>
              <w:spacing w:before="67" w:line="209" w:lineRule="auto"/>
              <w:ind w:left="1337"/>
              <w:rPr>
                <w:rFonts w:ascii="方正书宋_GBK" w:eastAsia="方正书宋_GBK" w:cs="SimSun" w:hint="eastAsia"/>
                <w:sz w:val="18"/>
                <w:szCs w:val="18"/>
              </w:rPr>
            </w:pPr>
            <w:r>
              <w:rPr>
                <w:rFonts w:ascii="方正书宋_GBK" w:eastAsia="方正书宋_GBK" w:cs="SimSun" w:hint="eastAsia"/>
                <w:spacing w:val="-2"/>
                <w:sz w:val="18"/>
                <w:szCs w:val="18"/>
              </w:rPr>
              <w:t>单位会计科目</w:t>
            </w:r>
          </w:p>
        </w:tc>
        <w:tc>
          <w:tcPr>
            <w:tcW w:w="2523" w:type="dxa"/>
          </w:tcPr>
          <w:p>
            <w:pPr>
              <w:pStyle w:val="136"/>
              <w:rPr>
                <w:rFonts w:ascii="方正书宋_GBK" w:eastAsia="方正书宋_GBK" w:hint="eastAsia"/>
              </w:rPr>
            </w:pPr>
          </w:p>
        </w:tc>
      </w:tr>
      <w:tr>
        <w:trPr>
          <w:trHeight w:val="310"/>
        </w:trPr>
        <w:tc>
          <w:tcPr>
            <w:tcW w:w="2208" w:type="dxa"/>
          </w:tcPr>
          <w:p>
            <w:pPr>
              <w:spacing w:before="68"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资产分类</w:t>
            </w:r>
          </w:p>
        </w:tc>
        <w:tc>
          <w:tcPr>
            <w:tcW w:w="2683" w:type="dxa"/>
          </w:tcPr>
          <w:p>
            <w:pPr>
              <w:pStyle w:val="136"/>
              <w:rPr>
                <w:rFonts w:ascii="方正书宋_GBK" w:eastAsia="方正书宋_GBK" w:hint="eastAsia"/>
              </w:rPr>
            </w:pPr>
          </w:p>
        </w:tc>
        <w:tc>
          <w:tcPr>
            <w:tcW w:w="2459" w:type="dxa"/>
            <w:gridSpan w:val="2"/>
          </w:tcPr>
          <w:p>
            <w:pPr>
              <w:spacing w:before="56" w:line="206" w:lineRule="auto"/>
              <w:ind w:left="1625"/>
              <w:rPr>
                <w:rFonts w:ascii="方正书宋_GBK" w:eastAsia="方正书宋_GBK" w:cs="SimSun" w:hint="eastAsia"/>
                <w:sz w:val="20"/>
                <w:szCs w:val="20"/>
              </w:rPr>
            </w:pPr>
            <w:r>
              <w:rPr>
                <w:rFonts w:ascii="方正书宋_GBK" w:eastAsia="方正书宋_GBK" w:cs="SimSun" w:hint="eastAsia"/>
                <w:spacing w:val="-4"/>
                <w:sz w:val="20"/>
                <w:szCs w:val="20"/>
              </w:rPr>
              <w:t>资产名称</w:t>
            </w:r>
          </w:p>
        </w:tc>
        <w:tc>
          <w:tcPr>
            <w:tcW w:w="2523" w:type="dxa"/>
          </w:tcPr>
          <w:p>
            <w:pPr>
              <w:pStyle w:val="136"/>
              <w:rPr>
                <w:rFonts w:ascii="方正书宋_GBK" w:eastAsia="方正书宋_GBK" w:hint="eastAsia"/>
              </w:rPr>
            </w:pPr>
          </w:p>
        </w:tc>
      </w:tr>
      <w:tr>
        <w:trPr>
          <w:trHeight w:val="325"/>
        </w:trPr>
        <w:tc>
          <w:tcPr>
            <w:tcW w:w="2208" w:type="dxa"/>
          </w:tcPr>
          <w:p>
            <w:pPr>
              <w:spacing w:before="75" w:line="206" w:lineRule="auto"/>
              <w:ind w:left="1803"/>
              <w:rPr>
                <w:rFonts w:ascii="方正书宋_GBK" w:eastAsia="方正书宋_GBK" w:cs="SimSun" w:hint="eastAsia"/>
                <w:sz w:val="18"/>
                <w:szCs w:val="18"/>
              </w:rPr>
            </w:pPr>
            <w:r>
              <w:rPr>
                <w:rFonts w:ascii="方正书宋_GBK" w:eastAsia="方正书宋_GBK" w:cs="SimSun" w:hint="eastAsia"/>
                <w:spacing w:val="-3"/>
                <w:sz w:val="18"/>
                <w:szCs w:val="18"/>
              </w:rPr>
              <w:t>数量</w:t>
            </w:r>
          </w:p>
        </w:tc>
        <w:tc>
          <w:tcPr>
            <w:tcW w:w="2683" w:type="dxa"/>
          </w:tcPr>
          <w:p>
            <w:pPr>
              <w:pStyle w:val="136"/>
              <w:rPr>
                <w:rFonts w:ascii="方正书宋_GBK" w:eastAsia="方正书宋_GBK" w:hint="eastAsia"/>
              </w:rPr>
            </w:pPr>
          </w:p>
        </w:tc>
        <w:tc>
          <w:tcPr>
            <w:tcW w:w="2459" w:type="dxa"/>
            <w:gridSpan w:val="2"/>
          </w:tcPr>
          <w:p>
            <w:pPr>
              <w:spacing w:before="64" w:line="206" w:lineRule="auto"/>
              <w:ind w:left="1620"/>
              <w:rPr>
                <w:rFonts w:ascii="方正书宋_GBK" w:eastAsia="方正书宋_GBK" w:cs="SimSun" w:hint="eastAsia"/>
                <w:sz w:val="20"/>
                <w:szCs w:val="20"/>
              </w:rPr>
            </w:pPr>
            <w:r>
              <w:rPr>
                <w:rFonts w:ascii="方正书宋_GBK" w:eastAsia="方正书宋_GBK" w:cs="SimSun" w:hint="eastAsia"/>
                <w:spacing w:val="-3"/>
                <w:sz w:val="20"/>
                <w:szCs w:val="20"/>
              </w:rPr>
              <w:t>项目代码</w:t>
            </w:r>
          </w:p>
        </w:tc>
        <w:tc>
          <w:tcPr>
            <w:tcW w:w="2523" w:type="dxa"/>
          </w:tcPr>
          <w:p>
            <w:pPr>
              <w:pStyle w:val="136"/>
              <w:rPr>
                <w:rFonts w:ascii="方正书宋_GBK" w:eastAsia="方正书宋_GBK" w:hint="eastAsia"/>
              </w:rPr>
            </w:pPr>
          </w:p>
        </w:tc>
      </w:tr>
      <w:tr>
        <w:trPr>
          <w:trHeight w:val="310"/>
        </w:trPr>
        <w:tc>
          <w:tcPr>
            <w:tcW w:w="2208" w:type="dxa"/>
          </w:tcPr>
          <w:p>
            <w:pPr>
              <w:spacing w:before="67" w:line="209" w:lineRule="auto"/>
              <w:ind w:left="1083"/>
              <w:rPr>
                <w:rFonts w:ascii="方正书宋_GBK" w:eastAsia="方正书宋_GBK" w:cs="SimSun" w:hint="eastAsia"/>
                <w:sz w:val="18"/>
                <w:szCs w:val="18"/>
              </w:rPr>
            </w:pPr>
            <w:r>
              <w:rPr>
                <w:rFonts w:ascii="方正书宋_GBK" w:eastAsia="方正书宋_GBK" w:cs="SimSun" w:hint="eastAsia"/>
                <w:spacing w:val="-2"/>
                <w:sz w:val="18"/>
                <w:szCs w:val="18"/>
              </w:rPr>
              <w:t>数量计量单位</w:t>
            </w:r>
          </w:p>
        </w:tc>
        <w:tc>
          <w:tcPr>
            <w:tcW w:w="2683" w:type="dxa"/>
          </w:tcPr>
          <w:p>
            <w:pPr>
              <w:pStyle w:val="136"/>
              <w:rPr>
                <w:rFonts w:ascii="方正书宋_GBK" w:eastAsia="方正书宋_GBK" w:hint="eastAsia"/>
              </w:rPr>
            </w:pPr>
          </w:p>
        </w:tc>
        <w:tc>
          <w:tcPr>
            <w:tcW w:w="2459" w:type="dxa"/>
            <w:gridSpan w:val="2"/>
          </w:tcPr>
          <w:p>
            <w:pPr>
              <w:spacing w:before="56" w:line="206" w:lineRule="auto"/>
              <w:ind w:left="1216"/>
              <w:rPr>
                <w:rFonts w:ascii="方正书宋_GBK" w:eastAsia="方正书宋_GBK" w:cs="SimSun" w:hint="eastAsia"/>
                <w:sz w:val="20"/>
                <w:szCs w:val="20"/>
              </w:rPr>
            </w:pPr>
            <w:r>
              <w:rPr>
                <w:rFonts w:ascii="方正书宋_GBK" w:eastAsia="方正书宋_GBK" w:cs="SimSun" w:hint="eastAsia"/>
                <w:spacing w:val="-1"/>
                <w:sz w:val="20"/>
                <w:szCs w:val="20"/>
              </w:rPr>
              <w:t>采购组织形式</w:t>
            </w:r>
          </w:p>
        </w:tc>
        <w:tc>
          <w:tcPr>
            <w:tcW w:w="2523" w:type="dxa"/>
          </w:tcPr>
          <w:p>
            <w:pPr>
              <w:pStyle w:val="136"/>
              <w:rPr>
                <w:rFonts w:ascii="方正书宋_GBK" w:eastAsia="方正书宋_GBK" w:hint="eastAsia"/>
              </w:rPr>
            </w:pPr>
          </w:p>
        </w:tc>
      </w:tr>
      <w:tr>
        <w:trPr>
          <w:trHeight w:val="325"/>
        </w:trPr>
        <w:tc>
          <w:tcPr>
            <w:tcW w:w="2208" w:type="dxa"/>
          </w:tcPr>
          <w:p>
            <w:pPr>
              <w:spacing w:before="76" w:line="206" w:lineRule="auto"/>
              <w:ind w:left="1444"/>
              <w:rPr>
                <w:rFonts w:ascii="方正书宋_GBK" w:eastAsia="方正书宋_GBK" w:cs="SimSun" w:hint="eastAsia"/>
                <w:sz w:val="18"/>
                <w:szCs w:val="18"/>
              </w:rPr>
            </w:pPr>
            <w:r>
              <w:rPr>
                <w:rFonts w:ascii="方正书宋_GBK" w:eastAsia="方正书宋_GBK" w:cs="SimSun" w:hint="eastAsia"/>
                <w:spacing w:val="-2"/>
                <w:sz w:val="18"/>
                <w:szCs w:val="18"/>
              </w:rPr>
              <w:t>取得方式</w:t>
            </w:r>
          </w:p>
        </w:tc>
        <w:tc>
          <w:tcPr>
            <w:tcW w:w="2683" w:type="dxa"/>
          </w:tcPr>
          <w:p>
            <w:pPr>
              <w:pStyle w:val="136"/>
              <w:rPr>
                <w:rFonts w:ascii="方正书宋_GBK" w:eastAsia="方正书宋_GBK" w:hint="eastAsia"/>
              </w:rPr>
            </w:pPr>
          </w:p>
        </w:tc>
        <w:tc>
          <w:tcPr>
            <w:tcW w:w="2459" w:type="dxa"/>
            <w:gridSpan w:val="2"/>
          </w:tcPr>
          <w:p>
            <w:pPr>
              <w:spacing w:before="65" w:line="206" w:lineRule="auto"/>
              <w:ind w:left="1619"/>
              <w:rPr>
                <w:rFonts w:ascii="方正书宋_GBK" w:eastAsia="方正书宋_GBK" w:cs="SimSun" w:hint="eastAsia"/>
                <w:sz w:val="20"/>
                <w:szCs w:val="20"/>
              </w:rPr>
            </w:pPr>
            <w:r>
              <w:rPr>
                <w:rFonts w:ascii="方正书宋_GBK" w:eastAsia="方正书宋_GBK" w:cs="SimSun" w:hint="eastAsia"/>
                <w:spacing w:val="-2"/>
                <w:sz w:val="20"/>
                <w:szCs w:val="20"/>
              </w:rPr>
              <w:t>取得日期</w:t>
            </w:r>
          </w:p>
        </w:tc>
        <w:tc>
          <w:tcPr>
            <w:tcW w:w="2523" w:type="dxa"/>
          </w:tcPr>
          <w:p>
            <w:pPr>
              <w:pStyle w:val="136"/>
              <w:rPr>
                <w:rFonts w:ascii="方正书宋_GBK" w:eastAsia="方正书宋_GBK" w:hint="eastAsia"/>
              </w:rPr>
            </w:pPr>
          </w:p>
        </w:tc>
      </w:tr>
      <w:tr>
        <w:trPr>
          <w:trHeight w:val="310"/>
        </w:trPr>
        <w:tc>
          <w:tcPr>
            <w:tcW w:w="2208" w:type="dxa"/>
          </w:tcPr>
          <w:p>
            <w:pPr>
              <w:spacing w:before="68"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资产用途</w:t>
            </w:r>
          </w:p>
        </w:tc>
        <w:tc>
          <w:tcPr>
            <w:tcW w:w="2683" w:type="dxa"/>
          </w:tcPr>
          <w:p>
            <w:pPr>
              <w:pStyle w:val="136"/>
              <w:rPr>
                <w:rFonts w:ascii="方正书宋_GBK" w:eastAsia="方正书宋_GBK" w:hint="eastAsia"/>
              </w:rPr>
            </w:pPr>
          </w:p>
        </w:tc>
        <w:tc>
          <w:tcPr>
            <w:tcW w:w="2459" w:type="dxa"/>
            <w:gridSpan w:val="2"/>
          </w:tcPr>
          <w:p>
            <w:pPr>
              <w:spacing w:before="56" w:line="206" w:lineRule="auto"/>
              <w:ind w:left="1219"/>
              <w:rPr>
                <w:rFonts w:ascii="方正书宋_GBK" w:eastAsia="方正书宋_GBK" w:cs="SimSun" w:hint="eastAsia"/>
                <w:sz w:val="20"/>
                <w:szCs w:val="20"/>
              </w:rPr>
            </w:pPr>
            <w:r>
              <w:rPr>
                <w:rFonts w:ascii="方正书宋_GBK" w:eastAsia="方正书宋_GBK" w:cs="SimSun" w:hint="eastAsia"/>
                <w:spacing w:val="-2"/>
                <w:sz w:val="20"/>
                <w:szCs w:val="20"/>
              </w:rPr>
              <w:t>投入使用日期</w:t>
            </w:r>
          </w:p>
        </w:tc>
        <w:tc>
          <w:tcPr>
            <w:tcW w:w="2523" w:type="dxa"/>
          </w:tcPr>
          <w:p>
            <w:pPr>
              <w:pStyle w:val="136"/>
              <w:rPr>
                <w:rFonts w:ascii="方正书宋_GBK" w:eastAsia="方正书宋_GBK" w:hint="eastAsia"/>
              </w:rPr>
            </w:pPr>
          </w:p>
        </w:tc>
      </w:tr>
      <w:tr>
        <w:trPr>
          <w:trHeight w:val="310"/>
        </w:trPr>
        <w:tc>
          <w:tcPr>
            <w:tcW w:w="2208" w:type="dxa"/>
          </w:tcPr>
          <w:p>
            <w:pPr>
              <w:spacing w:before="67" w:line="209" w:lineRule="auto"/>
              <w:ind w:left="1082"/>
              <w:rPr>
                <w:rFonts w:ascii="方正书宋_GBK" w:eastAsia="方正书宋_GBK" w:cs="SimSun" w:hint="eastAsia"/>
                <w:sz w:val="18"/>
                <w:szCs w:val="18"/>
              </w:rPr>
            </w:pPr>
            <w:r>
              <w:rPr>
                <w:rFonts w:ascii="方正书宋_GBK" w:eastAsia="方正书宋_GBK" w:cs="SimSun" w:hint="eastAsia"/>
                <w:spacing w:val="-1"/>
                <w:sz w:val="18"/>
                <w:szCs w:val="18"/>
              </w:rPr>
              <w:t>配置批准单位</w:t>
            </w:r>
          </w:p>
        </w:tc>
        <w:tc>
          <w:tcPr>
            <w:tcW w:w="2683" w:type="dxa"/>
          </w:tcPr>
          <w:p>
            <w:pPr>
              <w:pStyle w:val="136"/>
              <w:rPr>
                <w:rFonts w:ascii="方正书宋_GBK" w:eastAsia="方正书宋_GBK" w:hint="eastAsia"/>
              </w:rPr>
            </w:pPr>
          </w:p>
        </w:tc>
        <w:tc>
          <w:tcPr>
            <w:tcW w:w="2459" w:type="dxa"/>
            <w:gridSpan w:val="2"/>
          </w:tcPr>
          <w:p>
            <w:pPr>
              <w:spacing w:before="55" w:line="209" w:lineRule="auto"/>
              <w:ind w:left="1618"/>
              <w:rPr>
                <w:rFonts w:ascii="方正书宋_GBK" w:eastAsia="方正书宋_GBK" w:cs="SimSun" w:hint="eastAsia"/>
                <w:sz w:val="20"/>
                <w:szCs w:val="20"/>
              </w:rPr>
            </w:pPr>
            <w:r>
              <w:rPr>
                <w:rFonts w:ascii="方正书宋_GBK" w:eastAsia="方正书宋_GBK" w:cs="SimSun" w:hint="eastAsia"/>
                <w:spacing w:val="-2"/>
                <w:sz w:val="20"/>
                <w:szCs w:val="20"/>
              </w:rPr>
              <w:t>文物等级</w:t>
            </w:r>
          </w:p>
        </w:tc>
        <w:tc>
          <w:tcPr>
            <w:tcW w:w="2523" w:type="dxa"/>
          </w:tcPr>
          <w:p>
            <w:pPr>
              <w:pStyle w:val="136"/>
              <w:rPr>
                <w:rFonts w:ascii="方正书宋_GBK" w:eastAsia="方正书宋_GBK" w:hint="eastAsia"/>
              </w:rPr>
            </w:pPr>
          </w:p>
        </w:tc>
      </w:tr>
      <w:tr>
        <w:trPr>
          <w:trHeight w:val="310"/>
        </w:trPr>
        <w:tc>
          <w:tcPr>
            <w:tcW w:w="2208" w:type="dxa"/>
          </w:tcPr>
          <w:p>
            <w:pPr>
              <w:spacing w:before="56" w:line="206" w:lineRule="auto"/>
              <w:ind w:left="1363"/>
              <w:rPr>
                <w:rFonts w:ascii="方正书宋_GBK" w:eastAsia="方正书宋_GBK" w:cs="SimSun" w:hint="eastAsia"/>
                <w:sz w:val="20"/>
                <w:szCs w:val="20"/>
              </w:rPr>
            </w:pPr>
            <w:r>
              <w:rPr>
                <w:rFonts w:ascii="方正书宋_GBK" w:eastAsia="方正书宋_GBK" w:cs="SimSun" w:hint="eastAsia"/>
                <w:spacing w:val="-2"/>
                <w:sz w:val="20"/>
                <w:szCs w:val="20"/>
              </w:rPr>
              <w:t>清查编号</w:t>
            </w: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10"/>
        </w:trPr>
        <w:tc>
          <w:tcPr>
            <w:tcW w:w="9873" w:type="dxa"/>
            <w:gridSpan w:val="5"/>
          </w:tcPr>
          <w:p>
            <w:pPr>
              <w:spacing w:before="34" w:line="204" w:lineRule="auto"/>
              <w:ind w:left="170"/>
              <w:rPr>
                <w:rFonts w:ascii="方正书宋_GBK" w:eastAsia="方正书宋_GBK" w:cs="SimSun" w:hint="eastAsia"/>
                <w:sz w:val="24"/>
                <w:szCs w:val="24"/>
              </w:rPr>
            </w:pPr>
            <w:r>
              <w:rPr>
                <w:rFonts w:ascii="方正书宋_GBK" w:eastAsia="方正书宋_GBK" w:cs="SimSun" w:hint="eastAsia"/>
                <w:spacing w:val="-2"/>
                <w:sz w:val="24"/>
                <w:szCs w:val="24"/>
              </w:rPr>
              <w:t>财务信息</w:t>
            </w:r>
          </w:p>
        </w:tc>
      </w:tr>
      <w:tr>
        <w:trPr>
          <w:trHeight w:val="374"/>
        </w:trPr>
        <w:tc>
          <w:tcPr>
            <w:tcW w:w="2208" w:type="dxa"/>
          </w:tcPr>
          <w:p>
            <w:pPr>
              <w:spacing w:before="87" w:line="241" w:lineRule="exact"/>
              <w:ind w:left="1442"/>
              <w:rPr>
                <w:rFonts w:ascii="方正书宋_GBK" w:eastAsia="方正书宋_GBK" w:cs="SimSun" w:hint="eastAsia"/>
                <w:sz w:val="18"/>
                <w:szCs w:val="18"/>
              </w:rPr>
            </w:pPr>
            <w:r>
              <w:rPr>
                <w:rFonts w:ascii="方正书宋_GBK" w:eastAsia="方正书宋_GBK" w:cs="SimSun" w:hint="eastAsia"/>
                <w:spacing w:val="-2"/>
                <w:position w:val="1"/>
                <w:sz w:val="18"/>
                <w:szCs w:val="18"/>
              </w:rPr>
              <w:t>价值类型</w:t>
            </w:r>
          </w:p>
        </w:tc>
        <w:tc>
          <w:tcPr>
            <w:tcW w:w="2683" w:type="dxa"/>
          </w:tcPr>
          <w:p>
            <w:pPr>
              <w:pStyle w:val="136"/>
              <w:rPr>
                <w:rFonts w:ascii="方正书宋_GBK" w:eastAsia="方正书宋_GBK" w:hint="eastAsia"/>
              </w:rPr>
            </w:pPr>
          </w:p>
        </w:tc>
        <w:tc>
          <w:tcPr>
            <w:tcW w:w="782" w:type="dxa"/>
            <w:vMerge w:val="restart"/>
            <w:tcBorders>
              <w:bottom w:val="nil"/>
            </w:tcBorders>
          </w:tcPr>
          <w:p>
            <w:pPr>
              <w:spacing w:before="205" w:line="202" w:lineRule="auto"/>
              <w:ind w:left="244" w:right="179"/>
              <w:rPr>
                <w:rFonts w:ascii="方正书宋_GBK" w:eastAsia="方正书宋_GBK" w:cs="SimSun" w:hint="eastAsia"/>
                <w:sz w:val="18"/>
                <w:szCs w:val="18"/>
              </w:rPr>
            </w:pPr>
            <w:r>
              <w:rPr>
                <w:rFonts w:ascii="方正书宋_GBK" w:eastAsia="方正书宋_GBK" w:cs="SimSun" w:hint="eastAsia"/>
                <w:spacing w:val="-5"/>
                <w:sz w:val="18"/>
                <w:szCs w:val="18"/>
              </w:rPr>
              <w:t>经费</w:t>
            </w:r>
            <w:r>
              <w:rPr>
                <w:rFonts w:ascii="方正书宋_GBK" w:eastAsia="方正书宋_GBK" w:cs="SimSun" w:hint="eastAsia"/>
                <w:sz w:val="18"/>
                <w:szCs w:val="18"/>
              </w:rPr>
              <w:t xml:space="preserve"> </w:t>
            </w:r>
            <w:r>
              <w:rPr>
                <w:rFonts w:ascii="方正书宋_GBK" w:eastAsia="方正书宋_GBK" w:cs="SimSun" w:hint="eastAsia"/>
                <w:spacing w:val="-4"/>
                <w:sz w:val="18"/>
                <w:szCs w:val="18"/>
              </w:rPr>
              <w:t>来源</w:t>
            </w:r>
          </w:p>
        </w:tc>
        <w:tc>
          <w:tcPr>
            <w:tcW w:w="1677" w:type="dxa"/>
          </w:tcPr>
          <w:p>
            <w:pPr>
              <w:spacing w:before="99" w:line="209" w:lineRule="auto"/>
              <w:ind w:left="374"/>
              <w:rPr>
                <w:rFonts w:ascii="方正书宋_GBK" w:eastAsia="方正书宋_GBK" w:cs="SimSun" w:hint="eastAsia"/>
                <w:sz w:val="18"/>
                <w:szCs w:val="18"/>
              </w:rPr>
            </w:pPr>
            <w:r>
              <w:rPr>
                <w:rFonts w:ascii="方正书宋_GBK" w:eastAsia="方正书宋_GBK" w:cs="SimSun" w:hint="eastAsia"/>
                <w:spacing w:val="-3"/>
                <w:sz w:val="18"/>
                <w:szCs w:val="18"/>
              </w:rPr>
              <w:t>财政拨款（元）</w:t>
            </w:r>
          </w:p>
        </w:tc>
        <w:tc>
          <w:tcPr>
            <w:tcW w:w="2523" w:type="dxa"/>
          </w:tcPr>
          <w:p>
            <w:pPr>
              <w:pStyle w:val="136"/>
              <w:rPr>
                <w:rFonts w:ascii="方正书宋_GBK" w:eastAsia="方正书宋_GBK" w:hint="eastAsia"/>
              </w:rPr>
            </w:pPr>
          </w:p>
        </w:tc>
      </w:tr>
      <w:tr>
        <w:trPr>
          <w:trHeight w:val="365"/>
        </w:trPr>
        <w:tc>
          <w:tcPr>
            <w:tcW w:w="2208" w:type="dxa"/>
          </w:tcPr>
          <w:p>
            <w:pPr>
              <w:spacing w:before="106" w:line="206" w:lineRule="auto"/>
              <w:ind w:left="910"/>
              <w:rPr>
                <w:rFonts w:ascii="方正书宋_GBK" w:eastAsia="方正书宋_GBK" w:cs="SimSun" w:hint="eastAsia"/>
                <w:sz w:val="18"/>
                <w:szCs w:val="18"/>
              </w:rPr>
            </w:pPr>
            <w:r>
              <w:rPr>
                <w:rFonts w:ascii="方正书宋_GBK" w:eastAsia="方正书宋_GBK" w:cs="SimSun" w:hint="eastAsia"/>
                <w:spacing w:val="-4"/>
                <w:sz w:val="18"/>
                <w:szCs w:val="18"/>
              </w:rPr>
              <w:t>资产原值（元）</w:t>
            </w:r>
          </w:p>
        </w:tc>
        <w:tc>
          <w:tcPr>
            <w:tcW w:w="2683" w:type="dxa"/>
          </w:tcPr>
          <w:p>
            <w:pPr>
              <w:pStyle w:val="136"/>
              <w:rPr>
                <w:rFonts w:ascii="方正书宋_GBK" w:eastAsia="方正书宋_GBK" w:hint="eastAsia"/>
              </w:rPr>
            </w:pPr>
          </w:p>
        </w:tc>
        <w:tc>
          <w:tcPr>
            <w:tcW w:w="782" w:type="dxa"/>
            <w:vMerge/>
            <w:tcBorders>
              <w:top w:val="nil"/>
            </w:tcBorders>
          </w:tcPr>
          <w:p/>
        </w:tc>
        <w:tc>
          <w:tcPr>
            <w:tcW w:w="1677" w:type="dxa"/>
          </w:tcPr>
          <w:p>
            <w:pPr>
              <w:spacing w:before="105" w:line="209" w:lineRule="auto"/>
              <w:ind w:left="197"/>
              <w:rPr>
                <w:rFonts w:ascii="方正书宋_GBK" w:eastAsia="方正书宋_GBK" w:cs="SimSun" w:hint="eastAsia"/>
                <w:sz w:val="18"/>
                <w:szCs w:val="18"/>
              </w:rPr>
            </w:pPr>
            <w:r>
              <w:rPr>
                <w:rFonts w:ascii="方正书宋_GBK" w:eastAsia="方正书宋_GBK" w:cs="SimSun" w:hint="eastAsia"/>
                <w:spacing w:val="-3"/>
                <w:sz w:val="18"/>
                <w:szCs w:val="18"/>
              </w:rPr>
              <w:t>非财政拨款（元）</w:t>
            </w:r>
          </w:p>
        </w:tc>
        <w:tc>
          <w:tcPr>
            <w:tcW w:w="2523" w:type="dxa"/>
          </w:tcPr>
          <w:p>
            <w:pPr>
              <w:pStyle w:val="136"/>
              <w:rPr>
                <w:rFonts w:ascii="方正书宋_GBK" w:eastAsia="方正书宋_GBK" w:hint="eastAsia"/>
              </w:rPr>
            </w:pPr>
          </w:p>
        </w:tc>
      </w:tr>
      <w:tr>
        <w:trPr>
          <w:trHeight w:val="345"/>
        </w:trPr>
        <w:tc>
          <w:tcPr>
            <w:tcW w:w="2208" w:type="dxa"/>
          </w:tcPr>
          <w:p>
            <w:pPr>
              <w:spacing w:before="63" w:line="241" w:lineRule="exact"/>
              <w:ind w:left="842"/>
              <w:rPr>
                <w:rFonts w:ascii="方正书宋_GBK" w:eastAsia="方正书宋_GBK" w:cs="SimSun" w:hint="eastAsia"/>
                <w:sz w:val="18"/>
                <w:szCs w:val="18"/>
              </w:rPr>
            </w:pPr>
            <w:r>
              <w:rPr>
                <w:rFonts w:ascii="方正书宋_GBK" w:eastAsia="方正书宋_GBK" w:cs="SimSun" w:hint="eastAsia"/>
                <w:spacing w:val="-6"/>
                <w:position w:val="1"/>
                <w:sz w:val="18"/>
                <w:szCs w:val="18"/>
              </w:rPr>
              <w:t>均价/单价（元）</w:t>
            </w:r>
          </w:p>
        </w:tc>
        <w:tc>
          <w:tcPr>
            <w:tcW w:w="2683" w:type="dxa"/>
          </w:tcPr>
          <w:p>
            <w:pPr>
              <w:pStyle w:val="136"/>
              <w:rPr>
                <w:rFonts w:ascii="方正书宋_GBK" w:eastAsia="方正书宋_GBK" w:hint="eastAsia"/>
              </w:rPr>
            </w:pPr>
          </w:p>
        </w:tc>
        <w:tc>
          <w:tcPr>
            <w:tcW w:w="782" w:type="dxa"/>
          </w:tcPr>
          <w:p>
            <w:pPr>
              <w:pStyle w:val="136"/>
              <w:rPr>
                <w:rFonts w:ascii="方正书宋_GBK" w:eastAsia="方正书宋_GBK" w:hint="eastAsia"/>
              </w:rPr>
            </w:pPr>
          </w:p>
        </w:tc>
        <w:tc>
          <w:tcPr>
            <w:tcW w:w="1677" w:type="dxa"/>
          </w:tcPr>
          <w:p>
            <w:pPr>
              <w:spacing w:before="75" w:line="209" w:lineRule="auto"/>
              <w:ind w:left="554"/>
              <w:rPr>
                <w:rFonts w:ascii="方正书宋_GBK" w:eastAsia="方正书宋_GBK" w:cs="SimSun" w:hint="eastAsia"/>
                <w:sz w:val="18"/>
                <w:szCs w:val="18"/>
              </w:rPr>
            </w:pPr>
            <w:r>
              <w:rPr>
                <w:rFonts w:ascii="方正书宋_GBK" w:eastAsia="方正书宋_GBK" w:cs="SimSun" w:hint="eastAsia"/>
                <w:spacing w:val="-2"/>
                <w:sz w:val="18"/>
                <w:szCs w:val="18"/>
              </w:rPr>
              <w:t>财务入帐状态</w:t>
            </w:r>
          </w:p>
        </w:tc>
        <w:tc>
          <w:tcPr>
            <w:tcW w:w="2523" w:type="dxa"/>
          </w:tcPr>
          <w:p>
            <w:pPr>
              <w:pStyle w:val="136"/>
              <w:rPr>
                <w:rFonts w:ascii="方正书宋_GBK" w:eastAsia="方正书宋_GBK" w:hint="eastAsia"/>
              </w:rPr>
            </w:pPr>
          </w:p>
        </w:tc>
      </w:tr>
      <w:tr>
        <w:trPr>
          <w:trHeight w:val="369"/>
        </w:trPr>
        <w:tc>
          <w:tcPr>
            <w:tcW w:w="2208" w:type="dxa"/>
          </w:tcPr>
          <w:p>
            <w:pPr>
              <w:spacing w:before="109" w:line="206" w:lineRule="auto"/>
              <w:ind w:left="1023"/>
              <w:rPr>
                <w:rFonts w:ascii="方正书宋_GBK" w:eastAsia="方正书宋_GBK" w:cs="SimSun" w:hint="eastAsia"/>
                <w:sz w:val="18"/>
                <w:szCs w:val="18"/>
              </w:rPr>
            </w:pPr>
            <w:r>
              <w:rPr>
                <w:rFonts w:ascii="方正书宋_GBK" w:eastAsia="方正书宋_GBK" w:cs="SimSun" w:hint="eastAsia"/>
                <w:spacing w:val="-5"/>
                <w:sz w:val="18"/>
                <w:szCs w:val="18"/>
              </w:rPr>
              <w:t>折旧/摊销状态</w:t>
            </w:r>
          </w:p>
        </w:tc>
        <w:tc>
          <w:tcPr>
            <w:tcW w:w="2683" w:type="dxa"/>
          </w:tcPr>
          <w:p>
            <w:pPr>
              <w:pStyle w:val="136"/>
              <w:rPr>
                <w:rFonts w:ascii="方正书宋_GBK" w:eastAsia="方正书宋_GBK" w:hint="eastAsia"/>
              </w:rPr>
            </w:pPr>
          </w:p>
        </w:tc>
        <w:tc>
          <w:tcPr>
            <w:tcW w:w="2459" w:type="dxa"/>
            <w:gridSpan w:val="2"/>
          </w:tcPr>
          <w:p>
            <w:pPr>
              <w:spacing w:before="109" w:line="206" w:lineRule="auto"/>
              <w:ind w:left="1515"/>
              <w:rPr>
                <w:rFonts w:ascii="方正书宋_GBK" w:eastAsia="方正书宋_GBK" w:cs="SimSun" w:hint="eastAsia"/>
                <w:sz w:val="18"/>
                <w:szCs w:val="18"/>
              </w:rPr>
            </w:pPr>
            <w:r>
              <w:rPr>
                <w:rFonts w:ascii="方正书宋_GBK" w:eastAsia="方正书宋_GBK" w:cs="SimSun" w:hint="eastAsia"/>
                <w:spacing w:val="-2"/>
                <w:sz w:val="18"/>
                <w:szCs w:val="18"/>
              </w:rPr>
              <w:t>记账凭记号</w:t>
            </w:r>
          </w:p>
        </w:tc>
        <w:tc>
          <w:tcPr>
            <w:tcW w:w="2523" w:type="dxa"/>
          </w:tcPr>
          <w:p>
            <w:pPr>
              <w:pStyle w:val="136"/>
              <w:rPr>
                <w:rFonts w:ascii="方正书宋_GBK" w:eastAsia="方正书宋_GBK" w:hint="eastAsia"/>
              </w:rPr>
            </w:pPr>
          </w:p>
        </w:tc>
      </w:tr>
      <w:tr>
        <w:trPr>
          <w:trHeight w:val="379"/>
        </w:trPr>
        <w:tc>
          <w:tcPr>
            <w:tcW w:w="2208" w:type="dxa"/>
          </w:tcPr>
          <w:p>
            <w:pPr>
              <w:spacing w:before="124" w:line="209" w:lineRule="auto"/>
              <w:ind w:left="1023"/>
              <w:rPr>
                <w:rFonts w:ascii="方正书宋_GBK" w:eastAsia="方正书宋_GBK" w:cs="SimSun" w:hint="eastAsia"/>
                <w:sz w:val="18"/>
                <w:szCs w:val="18"/>
              </w:rPr>
            </w:pPr>
            <w:r>
              <w:rPr>
                <w:rFonts w:ascii="方正书宋_GBK" w:eastAsia="方正书宋_GBK" w:cs="SimSun" w:hint="eastAsia"/>
                <w:spacing w:val="-5"/>
                <w:sz w:val="18"/>
                <w:szCs w:val="18"/>
              </w:rPr>
              <w:t>折旧/摊销年限</w:t>
            </w:r>
          </w:p>
        </w:tc>
        <w:tc>
          <w:tcPr>
            <w:tcW w:w="2683" w:type="dxa"/>
          </w:tcPr>
          <w:p>
            <w:pPr>
              <w:pStyle w:val="136"/>
              <w:rPr>
                <w:rFonts w:ascii="方正书宋_GBK" w:eastAsia="方正书宋_GBK" w:hint="eastAsia"/>
              </w:rPr>
            </w:pPr>
          </w:p>
        </w:tc>
        <w:tc>
          <w:tcPr>
            <w:tcW w:w="2459" w:type="dxa"/>
            <w:gridSpan w:val="2"/>
          </w:tcPr>
          <w:p>
            <w:pPr>
              <w:spacing w:before="124" w:line="209" w:lineRule="auto"/>
              <w:ind w:left="1277"/>
              <w:rPr>
                <w:rFonts w:ascii="方正书宋_GBK" w:eastAsia="方正书宋_GBK" w:cs="SimSun" w:hint="eastAsia"/>
                <w:sz w:val="18"/>
                <w:szCs w:val="18"/>
              </w:rPr>
            </w:pPr>
            <w:r>
              <w:rPr>
                <w:rFonts w:ascii="方正书宋_GBK" w:eastAsia="方正书宋_GBK" w:cs="SimSun" w:hint="eastAsia"/>
                <w:spacing w:val="-5"/>
                <w:sz w:val="18"/>
                <w:szCs w:val="18"/>
              </w:rPr>
              <w:t>折旧/摊销方法</w:t>
            </w:r>
          </w:p>
        </w:tc>
        <w:tc>
          <w:tcPr>
            <w:tcW w:w="2523" w:type="dxa"/>
          </w:tcPr>
          <w:p>
            <w:pPr>
              <w:pStyle w:val="136"/>
              <w:rPr>
                <w:rFonts w:ascii="方正书宋_GBK" w:eastAsia="方正书宋_GBK" w:hint="eastAsia"/>
              </w:rPr>
            </w:pPr>
          </w:p>
        </w:tc>
      </w:tr>
      <w:tr>
        <w:trPr>
          <w:trHeight w:val="364"/>
        </w:trPr>
        <w:tc>
          <w:tcPr>
            <w:tcW w:w="2208" w:type="dxa"/>
          </w:tcPr>
          <w:p>
            <w:pPr>
              <w:spacing w:before="118" w:line="206" w:lineRule="auto"/>
              <w:ind w:left="1622"/>
              <w:rPr>
                <w:rFonts w:ascii="方正书宋_GBK" w:eastAsia="方正书宋_GBK" w:cs="SimSun" w:hint="eastAsia"/>
                <w:sz w:val="18"/>
                <w:szCs w:val="18"/>
              </w:rPr>
            </w:pPr>
            <w:r>
              <w:rPr>
                <w:rFonts w:ascii="方正书宋_GBK" w:eastAsia="方正书宋_GBK" w:cs="SimSun" w:hint="eastAsia"/>
                <w:spacing w:val="-2"/>
                <w:sz w:val="18"/>
                <w:szCs w:val="18"/>
              </w:rPr>
              <w:t>残值率</w:t>
            </w:r>
          </w:p>
        </w:tc>
        <w:tc>
          <w:tcPr>
            <w:tcW w:w="2683" w:type="dxa"/>
          </w:tcPr>
          <w:p>
            <w:pPr>
              <w:pStyle w:val="136"/>
              <w:rPr>
                <w:rFonts w:ascii="方正书宋_GBK" w:eastAsia="方正书宋_GBK" w:hint="eastAsia"/>
              </w:rPr>
            </w:pPr>
          </w:p>
        </w:tc>
        <w:tc>
          <w:tcPr>
            <w:tcW w:w="2459" w:type="dxa"/>
            <w:gridSpan w:val="2"/>
          </w:tcPr>
          <w:p>
            <w:pPr>
              <w:spacing w:before="118" w:line="206" w:lineRule="auto"/>
              <w:ind w:left="740"/>
              <w:rPr>
                <w:rFonts w:ascii="方正书宋_GBK" w:eastAsia="方正书宋_GBK" w:cs="SimSun" w:hint="eastAsia"/>
                <w:sz w:val="18"/>
                <w:szCs w:val="18"/>
              </w:rPr>
            </w:pPr>
            <w:r>
              <w:rPr>
                <w:rFonts w:ascii="方正书宋_GBK" w:eastAsia="方正书宋_GBK" w:cs="SimSun" w:hint="eastAsia"/>
                <w:spacing w:val="-5"/>
                <w:sz w:val="18"/>
                <w:szCs w:val="18"/>
              </w:rPr>
              <w:t>月折旧/摊销额（元）</w:t>
            </w:r>
          </w:p>
        </w:tc>
        <w:tc>
          <w:tcPr>
            <w:tcW w:w="2523" w:type="dxa"/>
          </w:tcPr>
          <w:p>
            <w:pPr>
              <w:pStyle w:val="136"/>
              <w:rPr>
                <w:rFonts w:ascii="方正书宋_GBK" w:eastAsia="方正书宋_GBK" w:hint="eastAsia"/>
              </w:rPr>
            </w:pPr>
          </w:p>
        </w:tc>
      </w:tr>
      <w:tr>
        <w:trPr>
          <w:trHeight w:val="369"/>
        </w:trPr>
        <w:tc>
          <w:tcPr>
            <w:tcW w:w="2208" w:type="dxa"/>
          </w:tcPr>
          <w:p>
            <w:pPr>
              <w:spacing w:before="92" w:line="206" w:lineRule="auto"/>
              <w:ind w:left="489"/>
              <w:rPr>
                <w:rFonts w:ascii="方正书宋_GBK" w:eastAsia="方正书宋_GBK" w:cs="SimSun" w:hint="eastAsia"/>
                <w:sz w:val="18"/>
                <w:szCs w:val="18"/>
              </w:rPr>
            </w:pPr>
            <w:r>
              <w:rPr>
                <w:rFonts w:ascii="方正书宋_GBK" w:eastAsia="方正书宋_GBK" w:cs="SimSun" w:hint="eastAsia"/>
                <w:spacing w:val="-5"/>
                <w:sz w:val="18"/>
                <w:szCs w:val="18"/>
              </w:rPr>
              <w:t>累计折旧/摊销（元）</w:t>
            </w:r>
          </w:p>
        </w:tc>
        <w:tc>
          <w:tcPr>
            <w:tcW w:w="2683" w:type="dxa"/>
          </w:tcPr>
          <w:p>
            <w:pPr>
              <w:pStyle w:val="136"/>
              <w:rPr>
                <w:rFonts w:ascii="方正书宋_GBK" w:eastAsia="方正书宋_GBK" w:hint="eastAsia"/>
              </w:rPr>
            </w:pPr>
          </w:p>
        </w:tc>
        <w:tc>
          <w:tcPr>
            <w:tcW w:w="2459" w:type="dxa"/>
            <w:gridSpan w:val="2"/>
          </w:tcPr>
          <w:p>
            <w:pPr>
              <w:spacing w:before="92" w:line="206" w:lineRule="auto"/>
              <w:ind w:left="935"/>
              <w:rPr>
                <w:rFonts w:ascii="方正书宋_GBK" w:eastAsia="方正书宋_GBK" w:cs="SimSun" w:hint="eastAsia"/>
                <w:sz w:val="18"/>
                <w:szCs w:val="18"/>
              </w:rPr>
            </w:pPr>
            <w:r>
              <w:rPr>
                <w:rFonts w:ascii="方正书宋_GBK" w:eastAsia="方正书宋_GBK" w:cs="SimSun" w:hint="eastAsia"/>
                <w:spacing w:val="-6"/>
                <w:sz w:val="18"/>
                <w:szCs w:val="18"/>
              </w:rPr>
              <w:t>已提折旧/摊销月数</w:t>
            </w:r>
          </w:p>
        </w:tc>
        <w:tc>
          <w:tcPr>
            <w:tcW w:w="2523" w:type="dxa"/>
          </w:tcPr>
          <w:p>
            <w:pPr>
              <w:pStyle w:val="136"/>
              <w:rPr>
                <w:rFonts w:ascii="方正书宋_GBK" w:eastAsia="方正书宋_GBK" w:hint="eastAsia"/>
              </w:rPr>
            </w:pPr>
          </w:p>
        </w:tc>
      </w:tr>
      <w:tr>
        <w:trPr>
          <w:trHeight w:val="365"/>
        </w:trPr>
        <w:tc>
          <w:tcPr>
            <w:tcW w:w="2208" w:type="dxa"/>
          </w:tcPr>
          <w:p>
            <w:pPr>
              <w:spacing w:before="119" w:line="209" w:lineRule="auto"/>
              <w:ind w:left="1262"/>
              <w:rPr>
                <w:rFonts w:ascii="方正书宋_GBK" w:eastAsia="方正书宋_GBK" w:cs="SimSun" w:hint="eastAsia"/>
                <w:sz w:val="18"/>
                <w:szCs w:val="18"/>
              </w:rPr>
            </w:pPr>
            <w:r>
              <w:rPr>
                <w:rFonts w:ascii="方正书宋_GBK" w:eastAsia="方正书宋_GBK" w:cs="SimSun" w:hint="eastAsia"/>
                <w:spacing w:val="-2"/>
                <w:sz w:val="18"/>
                <w:szCs w:val="18"/>
              </w:rPr>
              <w:t>财务负责人</w:t>
            </w:r>
          </w:p>
        </w:tc>
        <w:tc>
          <w:tcPr>
            <w:tcW w:w="2683" w:type="dxa"/>
          </w:tcPr>
          <w:p>
            <w:pPr>
              <w:pStyle w:val="136"/>
              <w:rPr>
                <w:rFonts w:ascii="方正书宋_GBK" w:eastAsia="方正书宋_GBK" w:hint="eastAsia"/>
              </w:rPr>
            </w:pPr>
          </w:p>
        </w:tc>
        <w:tc>
          <w:tcPr>
            <w:tcW w:w="2459" w:type="dxa"/>
            <w:gridSpan w:val="2"/>
          </w:tcPr>
          <w:p>
            <w:pPr>
              <w:spacing w:before="121" w:line="206" w:lineRule="auto"/>
              <w:ind w:left="1518"/>
              <w:rPr>
                <w:rFonts w:ascii="方正书宋_GBK" w:eastAsia="方正书宋_GBK" w:cs="SimSun" w:hint="eastAsia"/>
                <w:sz w:val="18"/>
                <w:szCs w:val="18"/>
              </w:rPr>
            </w:pPr>
            <w:r>
              <w:rPr>
                <w:rFonts w:ascii="方正书宋_GBK" w:eastAsia="方正书宋_GBK" w:cs="SimSun" w:hint="eastAsia"/>
                <w:spacing w:val="-4"/>
                <w:sz w:val="18"/>
                <w:szCs w:val="18"/>
              </w:rPr>
              <w:t>净值（元）</w:t>
            </w:r>
          </w:p>
        </w:tc>
        <w:tc>
          <w:tcPr>
            <w:tcW w:w="2523" w:type="dxa"/>
          </w:tcPr>
          <w:p>
            <w:pPr>
              <w:pStyle w:val="136"/>
              <w:rPr>
                <w:rFonts w:ascii="方正书宋_GBK" w:eastAsia="方正书宋_GBK" w:hint="eastAsia"/>
              </w:rPr>
            </w:pPr>
          </w:p>
        </w:tc>
      </w:tr>
      <w:tr>
        <w:trPr>
          <w:trHeight w:val="350"/>
        </w:trPr>
        <w:tc>
          <w:tcPr>
            <w:tcW w:w="2208" w:type="dxa"/>
          </w:tcPr>
          <w:p>
            <w:pPr>
              <w:spacing w:before="115" w:line="204" w:lineRule="auto"/>
              <w:ind w:left="1441"/>
              <w:rPr>
                <w:rFonts w:ascii="方正书宋_GBK" w:eastAsia="方正书宋_GBK" w:cs="SimSun" w:hint="eastAsia"/>
                <w:sz w:val="18"/>
                <w:szCs w:val="18"/>
              </w:rPr>
            </w:pPr>
            <w:r>
              <w:rPr>
                <w:rFonts w:ascii="方正书宋_GBK" w:eastAsia="方正书宋_GBK" w:cs="SimSun" w:hint="eastAsia"/>
                <w:spacing w:val="-2"/>
                <w:sz w:val="18"/>
                <w:szCs w:val="18"/>
              </w:rPr>
              <w:t>记账日期</w:t>
            </w: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10"/>
        </w:trPr>
        <w:tc>
          <w:tcPr>
            <w:tcW w:w="2208" w:type="dxa"/>
          </w:tcPr>
          <w:p>
            <w:pPr>
              <w:pStyle w:val="136"/>
              <w:rPr>
                <w:rFonts w:ascii="方正书宋_GBK" w:eastAsia="方正书宋_GBK" w:hint="eastAsia"/>
              </w:rPr>
            </w:pP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10"/>
        </w:trPr>
        <w:tc>
          <w:tcPr>
            <w:tcW w:w="9873" w:type="dxa"/>
            <w:gridSpan w:val="5"/>
          </w:tcPr>
          <w:p>
            <w:pPr>
              <w:spacing w:before="40" w:line="199" w:lineRule="auto"/>
              <w:ind w:left="170"/>
              <w:rPr>
                <w:rFonts w:ascii="方正书宋_GBK" w:eastAsia="方正书宋_GBK" w:cs="SimSun" w:hint="eastAsia"/>
                <w:sz w:val="24"/>
                <w:szCs w:val="24"/>
              </w:rPr>
            </w:pPr>
            <w:r>
              <w:rPr>
                <w:rFonts w:ascii="方正书宋_GBK" w:eastAsia="方正书宋_GBK" w:cs="SimSun" w:hint="eastAsia"/>
                <w:spacing w:val="-2"/>
                <w:sz w:val="24"/>
                <w:szCs w:val="24"/>
              </w:rPr>
              <w:t>使用信息</w:t>
            </w:r>
          </w:p>
        </w:tc>
      </w:tr>
      <w:tr>
        <w:trPr>
          <w:trHeight w:val="310"/>
        </w:trPr>
        <w:tc>
          <w:tcPr>
            <w:tcW w:w="2208" w:type="dxa"/>
          </w:tcPr>
          <w:p>
            <w:pPr>
              <w:spacing w:before="73"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资产状态</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1336"/>
              <w:rPr>
                <w:rFonts w:ascii="方正书宋_GBK" w:eastAsia="方正书宋_GBK" w:cs="SimSun" w:hint="eastAsia"/>
                <w:sz w:val="18"/>
                <w:szCs w:val="18"/>
              </w:rPr>
            </w:pPr>
            <w:r>
              <w:rPr>
                <w:rFonts w:ascii="方正书宋_GBK" w:eastAsia="方正书宋_GBK" w:cs="SimSun" w:hint="eastAsia"/>
                <w:spacing w:val="-2"/>
                <w:sz w:val="18"/>
                <w:szCs w:val="18"/>
              </w:rPr>
              <w:t>使用责任主体</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1446"/>
              <w:rPr>
                <w:rFonts w:ascii="方正书宋_GBK" w:eastAsia="方正书宋_GBK" w:cs="SimSun" w:hint="eastAsia"/>
                <w:sz w:val="18"/>
                <w:szCs w:val="18"/>
              </w:rPr>
            </w:pPr>
            <w:r>
              <w:rPr>
                <w:rFonts w:ascii="方正书宋_GBK" w:eastAsia="方正书宋_GBK" w:cs="SimSun" w:hint="eastAsia"/>
                <w:spacing w:val="-3"/>
                <w:sz w:val="18"/>
                <w:szCs w:val="18"/>
              </w:rPr>
              <w:t>管理部门</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880"/>
              <w:rPr>
                <w:rFonts w:ascii="方正书宋_GBK" w:eastAsia="方正书宋_GBK" w:cs="SimSun" w:hint="eastAsia"/>
                <w:sz w:val="18"/>
                <w:szCs w:val="18"/>
              </w:rPr>
            </w:pPr>
            <w:r>
              <w:rPr>
                <w:rFonts w:ascii="方正书宋_GBK" w:eastAsia="方正书宋_GBK" w:cs="SimSun" w:hint="eastAsia"/>
                <w:spacing w:val="-3"/>
                <w:sz w:val="18"/>
                <w:szCs w:val="18"/>
              </w:rPr>
              <w:t>管理人</w:t>
            </w:r>
          </w:p>
        </w:tc>
        <w:tc>
          <w:tcPr>
            <w:tcW w:w="2523" w:type="dxa"/>
          </w:tcPr>
          <w:p>
            <w:pPr>
              <w:pStyle w:val="136"/>
              <w:rPr>
                <w:rFonts w:ascii="方正书宋_GBK" w:eastAsia="方正书宋_GBK" w:hint="eastAsia"/>
              </w:rPr>
            </w:pPr>
          </w:p>
        </w:tc>
      </w:tr>
      <w:tr>
        <w:trPr>
          <w:trHeight w:val="310"/>
        </w:trPr>
        <w:tc>
          <w:tcPr>
            <w:tcW w:w="2208" w:type="dxa"/>
          </w:tcPr>
          <w:p>
            <w:pPr>
              <w:spacing w:before="73" w:line="206" w:lineRule="auto"/>
              <w:ind w:left="1442"/>
              <w:rPr>
                <w:rFonts w:ascii="方正书宋_GBK" w:eastAsia="方正书宋_GBK" w:cs="SimSun" w:hint="eastAsia"/>
                <w:sz w:val="18"/>
                <w:szCs w:val="18"/>
              </w:rPr>
            </w:pPr>
            <w:r>
              <w:rPr>
                <w:rFonts w:ascii="方正书宋_GBK" w:eastAsia="方正书宋_GBK" w:cs="SimSun" w:hint="eastAsia"/>
                <w:spacing w:val="-2"/>
                <w:sz w:val="18"/>
                <w:szCs w:val="18"/>
              </w:rPr>
              <w:t>使用部门</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1876"/>
              <w:rPr>
                <w:rFonts w:ascii="方正书宋_GBK" w:eastAsia="方正书宋_GBK" w:cs="SimSun" w:hint="eastAsia"/>
                <w:sz w:val="18"/>
                <w:szCs w:val="18"/>
              </w:rPr>
            </w:pPr>
            <w:r>
              <w:rPr>
                <w:rFonts w:ascii="方正书宋_GBK" w:eastAsia="方正书宋_GBK" w:cs="SimSun" w:hint="eastAsia"/>
                <w:spacing w:val="-2"/>
                <w:sz w:val="18"/>
                <w:szCs w:val="18"/>
              </w:rPr>
              <w:t>使用人</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1082"/>
              <w:rPr>
                <w:rFonts w:ascii="方正书宋_GBK" w:eastAsia="方正书宋_GBK" w:cs="SimSun" w:hint="eastAsia"/>
                <w:sz w:val="18"/>
                <w:szCs w:val="18"/>
              </w:rPr>
            </w:pPr>
            <w:r>
              <w:rPr>
                <w:rFonts w:ascii="方正书宋_GBK" w:eastAsia="方正书宋_GBK" w:cs="SimSun" w:hint="eastAsia"/>
                <w:spacing w:val="-2"/>
                <w:sz w:val="18"/>
                <w:szCs w:val="18"/>
              </w:rPr>
              <w:t>保管收藏单位</w:t>
            </w:r>
          </w:p>
        </w:tc>
        <w:tc>
          <w:tcPr>
            <w:tcW w:w="2683" w:type="dxa"/>
          </w:tcPr>
          <w:p>
            <w:pPr>
              <w:pStyle w:val="136"/>
              <w:rPr>
                <w:rFonts w:ascii="方正书宋_GBK" w:eastAsia="方正书宋_GBK" w:hint="eastAsia"/>
              </w:rPr>
            </w:pPr>
          </w:p>
        </w:tc>
        <w:tc>
          <w:tcPr>
            <w:tcW w:w="2459" w:type="dxa"/>
            <w:gridSpan w:val="2"/>
          </w:tcPr>
          <w:p>
            <w:pPr>
              <w:spacing w:before="80" w:line="206" w:lineRule="auto"/>
              <w:ind w:left="1695"/>
              <w:rPr>
                <w:rFonts w:ascii="方正书宋_GBK" w:eastAsia="方正书宋_GBK" w:cs="SimSun" w:hint="eastAsia"/>
                <w:sz w:val="18"/>
                <w:szCs w:val="18"/>
              </w:rPr>
            </w:pPr>
            <w:r>
              <w:rPr>
                <w:rFonts w:ascii="方正书宋_GBK" w:eastAsia="方正书宋_GBK" w:cs="SimSun" w:hint="eastAsia"/>
                <w:spacing w:val="-2"/>
                <w:sz w:val="18"/>
                <w:szCs w:val="18"/>
              </w:rPr>
              <w:t>存放地点</w:t>
            </w:r>
          </w:p>
        </w:tc>
        <w:tc>
          <w:tcPr>
            <w:tcW w:w="2523" w:type="dxa"/>
          </w:tcPr>
          <w:p>
            <w:pPr>
              <w:pStyle w:val="136"/>
              <w:rPr>
                <w:rFonts w:ascii="方正书宋_GBK" w:eastAsia="方正书宋_GBK" w:hint="eastAsia"/>
              </w:rPr>
            </w:pPr>
          </w:p>
        </w:tc>
      </w:tr>
      <w:tr>
        <w:trPr>
          <w:trHeight w:val="325"/>
        </w:trPr>
        <w:tc>
          <w:tcPr>
            <w:tcW w:w="2208" w:type="dxa"/>
          </w:tcPr>
          <w:p>
            <w:pPr>
              <w:spacing w:before="80" w:line="206" w:lineRule="auto"/>
              <w:ind w:left="1085"/>
              <w:rPr>
                <w:rFonts w:ascii="方正书宋_GBK" w:eastAsia="方正书宋_GBK" w:cs="SimSun" w:hint="eastAsia"/>
                <w:sz w:val="18"/>
                <w:szCs w:val="18"/>
              </w:rPr>
            </w:pPr>
            <w:r>
              <w:rPr>
                <w:rFonts w:ascii="方正书宋_GBK" w:eastAsia="方正书宋_GBK" w:cs="SimSun" w:hint="eastAsia"/>
                <w:spacing w:val="-2"/>
                <w:sz w:val="18"/>
                <w:szCs w:val="18"/>
              </w:rPr>
              <w:t>是否共享共用</w:t>
            </w:r>
          </w:p>
        </w:tc>
        <w:tc>
          <w:tcPr>
            <w:tcW w:w="2683" w:type="dxa"/>
          </w:tcPr>
          <w:p>
            <w:pPr>
              <w:pStyle w:val="136"/>
              <w:rPr>
                <w:rFonts w:ascii="方正书宋_GBK" w:eastAsia="方正书宋_GBK" w:hint="eastAsia"/>
              </w:rPr>
            </w:pPr>
          </w:p>
        </w:tc>
        <w:tc>
          <w:tcPr>
            <w:tcW w:w="2459" w:type="dxa"/>
            <w:gridSpan w:val="2"/>
          </w:tcPr>
          <w:p>
            <w:pPr>
              <w:spacing w:before="80" w:line="206" w:lineRule="auto"/>
              <w:ind w:left="2058"/>
              <w:rPr>
                <w:rFonts w:ascii="方正书宋_GBK" w:eastAsia="方正书宋_GBK" w:cs="SimSun" w:hint="eastAsia"/>
                <w:sz w:val="18"/>
                <w:szCs w:val="18"/>
              </w:rPr>
            </w:pPr>
            <w:r>
              <w:rPr>
                <w:rFonts w:ascii="方正书宋_GBK" w:eastAsia="方正书宋_GBK" w:cs="SimSun" w:hint="eastAsia"/>
                <w:spacing w:val="-3"/>
                <w:sz w:val="18"/>
                <w:szCs w:val="18"/>
              </w:rPr>
              <w:t>备注</w:t>
            </w:r>
          </w:p>
        </w:tc>
        <w:tc>
          <w:tcPr>
            <w:tcW w:w="2523" w:type="dxa"/>
          </w:tcPr>
          <w:p>
            <w:pPr>
              <w:pStyle w:val="136"/>
              <w:rPr>
                <w:rFonts w:ascii="方正书宋_GBK" w:eastAsia="方正书宋_GBK" w:hint="eastAsia"/>
              </w:rPr>
            </w:pPr>
          </w:p>
        </w:tc>
      </w:tr>
      <w:tr>
        <w:trPr>
          <w:trHeight w:val="310"/>
        </w:trPr>
        <w:tc>
          <w:tcPr>
            <w:tcW w:w="9873" w:type="dxa"/>
            <w:gridSpan w:val="5"/>
          </w:tcPr>
          <w:p>
            <w:pPr>
              <w:spacing w:before="40" w:line="199" w:lineRule="auto"/>
              <w:ind w:left="169"/>
              <w:rPr>
                <w:rFonts w:ascii="方正书宋_GBK" w:eastAsia="方正书宋_GBK" w:cs="SimSun" w:hint="eastAsia"/>
                <w:sz w:val="24"/>
                <w:szCs w:val="24"/>
              </w:rPr>
            </w:pPr>
            <w:r>
              <w:rPr>
                <w:rFonts w:ascii="方正书宋_GBK" w:eastAsia="方正书宋_GBK" w:cs="SimSun" w:hint="eastAsia"/>
                <w:spacing w:val="-2"/>
                <w:sz w:val="24"/>
                <w:szCs w:val="24"/>
              </w:rPr>
              <w:t>特性信息</w:t>
            </w:r>
          </w:p>
        </w:tc>
      </w:tr>
      <w:tr>
        <w:trPr>
          <w:trHeight w:val="325"/>
        </w:trPr>
        <w:tc>
          <w:tcPr>
            <w:tcW w:w="2208" w:type="dxa"/>
          </w:tcPr>
          <w:p>
            <w:pPr>
              <w:spacing w:before="81" w:line="206" w:lineRule="auto"/>
              <w:ind w:left="1263"/>
              <w:rPr>
                <w:rFonts w:ascii="方正书宋_GBK" w:eastAsia="方正书宋_GBK" w:cs="SimSun" w:hint="eastAsia"/>
                <w:sz w:val="18"/>
                <w:szCs w:val="18"/>
              </w:rPr>
            </w:pPr>
            <w:r>
              <w:rPr>
                <w:rFonts w:ascii="方正书宋_GBK" w:eastAsia="方正书宋_GBK" w:cs="SimSun" w:hint="eastAsia"/>
                <w:spacing w:val="-2"/>
                <w:sz w:val="18"/>
                <w:szCs w:val="18"/>
              </w:rPr>
              <w:t>文物登记号</w:t>
            </w:r>
          </w:p>
        </w:tc>
        <w:tc>
          <w:tcPr>
            <w:tcW w:w="2683" w:type="dxa"/>
          </w:tcPr>
          <w:p>
            <w:pPr>
              <w:pStyle w:val="136"/>
              <w:rPr>
                <w:rFonts w:ascii="方正书宋_GBK" w:eastAsia="方正书宋_GBK" w:hint="eastAsia"/>
              </w:rPr>
            </w:pPr>
          </w:p>
        </w:tc>
        <w:tc>
          <w:tcPr>
            <w:tcW w:w="2459" w:type="dxa"/>
            <w:gridSpan w:val="2"/>
          </w:tcPr>
          <w:p>
            <w:pPr>
              <w:spacing w:before="67" w:line="241" w:lineRule="exact"/>
              <w:ind w:left="1519"/>
              <w:rPr>
                <w:rFonts w:ascii="方正书宋_GBK" w:eastAsia="方正书宋_GBK" w:cs="SimSun" w:hint="eastAsia"/>
                <w:sz w:val="18"/>
                <w:szCs w:val="18"/>
              </w:rPr>
            </w:pPr>
            <w:r>
              <w:rPr>
                <w:rFonts w:ascii="方正书宋_GBK" w:eastAsia="方正书宋_GBK" w:cs="SimSun" w:hint="eastAsia"/>
                <w:spacing w:val="-2"/>
                <w:position w:val="1"/>
                <w:sz w:val="18"/>
                <w:szCs w:val="18"/>
              </w:rPr>
              <w:t>是否可计价</w:t>
            </w:r>
          </w:p>
        </w:tc>
        <w:tc>
          <w:tcPr>
            <w:tcW w:w="2523" w:type="dxa"/>
          </w:tcPr>
          <w:p>
            <w:pPr>
              <w:pStyle w:val="136"/>
              <w:rPr>
                <w:rFonts w:ascii="方正书宋_GBK" w:eastAsia="方正书宋_GBK" w:hint="eastAsia"/>
              </w:rPr>
            </w:pPr>
          </w:p>
        </w:tc>
      </w:tr>
      <w:tr>
        <w:trPr>
          <w:trHeight w:val="310"/>
        </w:trPr>
        <w:tc>
          <w:tcPr>
            <w:tcW w:w="2208" w:type="dxa"/>
          </w:tcPr>
          <w:p>
            <w:pPr>
              <w:spacing w:before="73" w:line="206" w:lineRule="auto"/>
              <w:ind w:left="723"/>
              <w:rPr>
                <w:rFonts w:ascii="方正书宋_GBK" w:eastAsia="方正书宋_GBK" w:cs="SimSun" w:hint="eastAsia"/>
                <w:sz w:val="18"/>
                <w:szCs w:val="18"/>
              </w:rPr>
            </w:pPr>
            <w:r>
              <w:rPr>
                <w:rFonts w:ascii="方正书宋_GBK" w:eastAsia="方正书宋_GBK" w:cs="SimSun" w:hint="eastAsia"/>
                <w:spacing w:val="-1"/>
                <w:sz w:val="18"/>
                <w:szCs w:val="18"/>
              </w:rPr>
              <w:t>文物资产使用状态</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921"/>
              <w:rPr>
                <w:rFonts w:ascii="方正书宋_GBK" w:eastAsia="方正书宋_GBK" w:cs="SimSun" w:hint="eastAsia"/>
                <w:sz w:val="18"/>
                <w:szCs w:val="18"/>
              </w:rPr>
            </w:pPr>
            <w:r>
              <w:rPr>
                <w:rFonts w:ascii="方正书宋_GBK" w:eastAsia="方正书宋_GBK" w:cs="SimSun" w:hint="eastAsia"/>
                <w:spacing w:val="-5"/>
                <w:sz w:val="18"/>
                <w:szCs w:val="18"/>
              </w:rPr>
              <w:t>公布日期/入藏日期</w:t>
            </w:r>
          </w:p>
        </w:tc>
        <w:tc>
          <w:tcPr>
            <w:tcW w:w="2523" w:type="dxa"/>
          </w:tcPr>
          <w:p>
            <w:pPr>
              <w:pStyle w:val="136"/>
              <w:rPr>
                <w:rFonts w:ascii="方正书宋_GBK" w:eastAsia="方正书宋_GBK" w:hint="eastAsia"/>
              </w:rPr>
            </w:pPr>
          </w:p>
        </w:tc>
      </w:tr>
      <w:tr>
        <w:trPr>
          <w:trHeight w:val="325"/>
        </w:trPr>
        <w:tc>
          <w:tcPr>
            <w:tcW w:w="2208" w:type="dxa"/>
          </w:tcPr>
          <w:p>
            <w:pPr>
              <w:spacing w:before="80" w:line="206" w:lineRule="auto"/>
              <w:ind w:left="592"/>
              <w:rPr>
                <w:rFonts w:ascii="方正书宋_GBK" w:eastAsia="方正书宋_GBK" w:cs="SimSun" w:hint="eastAsia"/>
                <w:sz w:val="18"/>
                <w:szCs w:val="18"/>
              </w:rPr>
            </w:pPr>
            <w:r>
              <w:rPr>
                <w:rFonts w:ascii="方正书宋_GBK" w:eastAsia="方正书宋_GBK" w:cs="SimSun" w:hint="eastAsia"/>
                <w:spacing w:val="-6"/>
                <w:sz w:val="18"/>
                <w:szCs w:val="18"/>
              </w:rPr>
              <w:t>总建筑面积(平方米)</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517"/>
              <w:rPr>
                <w:rFonts w:ascii="方正书宋_GBK" w:eastAsia="方正书宋_GBK" w:cs="SimSun" w:hint="eastAsia"/>
                <w:sz w:val="18"/>
                <w:szCs w:val="18"/>
              </w:rPr>
            </w:pPr>
            <w:r>
              <w:rPr>
                <w:rFonts w:ascii="方正书宋_GBK" w:eastAsia="方正书宋_GBK" w:cs="SimSun" w:hint="eastAsia"/>
                <w:spacing w:val="-2"/>
                <w:sz w:val="18"/>
                <w:szCs w:val="18"/>
              </w:rPr>
              <w:t>文物完整度</w:t>
            </w:r>
          </w:p>
        </w:tc>
        <w:tc>
          <w:tcPr>
            <w:tcW w:w="2523" w:type="dxa"/>
          </w:tcPr>
          <w:p>
            <w:pPr>
              <w:pStyle w:val="136"/>
              <w:rPr>
                <w:rFonts w:ascii="方正书宋_GBK" w:eastAsia="方正书宋_GBK" w:hint="eastAsia"/>
              </w:rPr>
            </w:pPr>
          </w:p>
        </w:tc>
      </w:tr>
      <w:tr>
        <w:trPr>
          <w:trHeight w:val="295"/>
        </w:trPr>
        <w:tc>
          <w:tcPr>
            <w:tcW w:w="2208" w:type="dxa"/>
          </w:tcPr>
          <w:p>
            <w:pPr>
              <w:spacing w:before="64" w:line="209" w:lineRule="auto"/>
              <w:ind w:left="1443"/>
              <w:rPr>
                <w:rFonts w:ascii="方正书宋_GBK" w:eastAsia="方正书宋_GBK" w:cs="SimSun" w:hint="eastAsia"/>
                <w:sz w:val="18"/>
                <w:szCs w:val="18"/>
              </w:rPr>
            </w:pPr>
            <w:r>
              <w:rPr>
                <w:rFonts w:ascii="方正书宋_GBK" w:eastAsia="方正书宋_GBK" w:cs="SimSun" w:hint="eastAsia"/>
                <w:spacing w:val="-2"/>
                <w:sz w:val="18"/>
                <w:szCs w:val="18"/>
              </w:rPr>
              <w:t>文物年代</w:t>
            </w:r>
          </w:p>
        </w:tc>
        <w:tc>
          <w:tcPr>
            <w:tcW w:w="2683" w:type="dxa"/>
          </w:tcPr>
          <w:p>
            <w:pPr>
              <w:pStyle w:val="136"/>
              <w:rPr>
                <w:rFonts w:ascii="方正书宋_GBK" w:eastAsia="方正书宋_GBK" w:hint="eastAsia"/>
              </w:rPr>
            </w:pPr>
          </w:p>
        </w:tc>
        <w:tc>
          <w:tcPr>
            <w:tcW w:w="2459" w:type="dxa"/>
            <w:gridSpan w:val="2"/>
          </w:tcPr>
          <w:p>
            <w:pPr>
              <w:spacing w:before="65" w:line="206" w:lineRule="auto"/>
              <w:ind w:left="1051"/>
              <w:rPr>
                <w:rFonts w:ascii="方正书宋_GBK" w:eastAsia="方正书宋_GBK" w:cs="SimSun" w:hint="eastAsia"/>
                <w:sz w:val="18"/>
                <w:szCs w:val="18"/>
              </w:rPr>
            </w:pPr>
            <w:r>
              <w:rPr>
                <w:rFonts w:ascii="方正书宋_GBK" w:eastAsia="方正书宋_GBK" w:cs="SimSun" w:hint="eastAsia"/>
                <w:spacing w:val="-9"/>
                <w:sz w:val="18"/>
                <w:szCs w:val="18"/>
              </w:rPr>
              <w:t>占地面积(平方米)</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1443"/>
              <w:rPr>
                <w:rFonts w:ascii="方正书宋_GBK" w:eastAsia="方正书宋_GBK" w:cs="SimSun" w:hint="eastAsia"/>
                <w:sz w:val="18"/>
                <w:szCs w:val="18"/>
              </w:rPr>
            </w:pPr>
            <w:r>
              <w:rPr>
                <w:rFonts w:ascii="方正书宋_GBK" w:eastAsia="方正书宋_GBK" w:cs="SimSun" w:hint="eastAsia"/>
                <w:spacing w:val="-2"/>
                <w:sz w:val="18"/>
                <w:szCs w:val="18"/>
              </w:rPr>
              <w:t>文物简介</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697"/>
              <w:rPr>
                <w:rFonts w:ascii="方正书宋_GBK" w:eastAsia="方正书宋_GBK" w:cs="SimSun" w:hint="eastAsia"/>
                <w:sz w:val="18"/>
                <w:szCs w:val="18"/>
              </w:rPr>
            </w:pPr>
            <w:r>
              <w:rPr>
                <w:rFonts w:ascii="方正书宋_GBK" w:eastAsia="方正书宋_GBK" w:cs="SimSun" w:hint="eastAsia"/>
                <w:spacing w:val="-2"/>
                <w:sz w:val="18"/>
                <w:szCs w:val="18"/>
              </w:rPr>
              <w:t>文物来源</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842"/>
              <w:rPr>
                <w:rFonts w:ascii="方正书宋_GBK" w:eastAsia="方正书宋_GBK" w:cs="SimSun" w:hint="eastAsia"/>
                <w:sz w:val="18"/>
                <w:szCs w:val="18"/>
              </w:rPr>
            </w:pPr>
            <w:r>
              <w:rPr>
                <w:rFonts w:ascii="方正书宋_GBK" w:eastAsia="方正书宋_GBK" w:cs="SimSun" w:hint="eastAsia"/>
                <w:spacing w:val="-5"/>
                <w:sz w:val="18"/>
                <w:szCs w:val="18"/>
              </w:rPr>
              <w:t>来源地/具体地址</w:t>
            </w: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25"/>
        </w:trPr>
        <w:tc>
          <w:tcPr>
            <w:tcW w:w="9873" w:type="dxa"/>
            <w:gridSpan w:val="5"/>
          </w:tcPr>
          <w:p>
            <w:pPr>
              <w:spacing w:before="47" w:line="206" w:lineRule="auto"/>
              <w:ind w:left="174"/>
              <w:rPr>
                <w:rFonts w:ascii="方正书宋_GBK" w:eastAsia="方正书宋_GBK" w:cs="SimSun" w:hint="eastAsia"/>
                <w:sz w:val="24"/>
                <w:szCs w:val="24"/>
              </w:rPr>
            </w:pPr>
            <w:r>
              <w:rPr>
                <w:rFonts w:ascii="方正书宋_GBK" w:eastAsia="方正书宋_GBK" w:cs="SimSun" w:hint="eastAsia"/>
                <w:spacing w:val="-3"/>
                <w:sz w:val="24"/>
                <w:szCs w:val="24"/>
              </w:rPr>
              <w:t>处置信息</w:t>
            </w:r>
          </w:p>
        </w:tc>
      </w:tr>
      <w:tr>
        <w:trPr>
          <w:trHeight w:val="310"/>
        </w:trPr>
        <w:tc>
          <w:tcPr>
            <w:tcW w:w="2208" w:type="dxa"/>
          </w:tcPr>
          <w:p>
            <w:pPr>
              <w:spacing w:before="74" w:line="206" w:lineRule="auto"/>
              <w:ind w:left="1445"/>
              <w:rPr>
                <w:rFonts w:ascii="方正书宋_GBK" w:eastAsia="方正书宋_GBK" w:cs="SimSun" w:hint="eastAsia"/>
                <w:sz w:val="18"/>
                <w:szCs w:val="18"/>
              </w:rPr>
            </w:pPr>
            <w:r>
              <w:rPr>
                <w:rFonts w:ascii="方正书宋_GBK" w:eastAsia="方正书宋_GBK" w:cs="SimSun" w:hint="eastAsia"/>
                <w:spacing w:val="-2"/>
                <w:sz w:val="18"/>
                <w:szCs w:val="18"/>
              </w:rPr>
              <w:t>处置形式</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1699"/>
              <w:rPr>
                <w:rFonts w:ascii="方正书宋_GBK" w:eastAsia="方正书宋_GBK" w:cs="SimSun" w:hint="eastAsia"/>
                <w:sz w:val="18"/>
                <w:szCs w:val="18"/>
              </w:rPr>
            </w:pPr>
            <w:r>
              <w:rPr>
                <w:rFonts w:ascii="方正书宋_GBK" w:eastAsia="方正书宋_GBK" w:cs="SimSun" w:hint="eastAsia"/>
                <w:spacing w:val="-2"/>
                <w:sz w:val="18"/>
                <w:szCs w:val="18"/>
              </w:rPr>
              <w:t>处置渠道</w:t>
            </w:r>
          </w:p>
        </w:tc>
        <w:tc>
          <w:tcPr>
            <w:tcW w:w="2523" w:type="dxa"/>
          </w:tcPr>
          <w:p>
            <w:pPr>
              <w:pStyle w:val="136"/>
              <w:rPr>
                <w:rFonts w:ascii="方正书宋_GBK" w:eastAsia="方正书宋_GBK" w:hint="eastAsia"/>
              </w:rPr>
            </w:pPr>
          </w:p>
        </w:tc>
      </w:tr>
      <w:tr>
        <w:trPr>
          <w:trHeight w:val="329"/>
        </w:trPr>
        <w:tc>
          <w:tcPr>
            <w:tcW w:w="2208" w:type="dxa"/>
          </w:tcPr>
          <w:p>
            <w:pPr>
              <w:spacing w:before="81" w:line="206" w:lineRule="auto"/>
              <w:ind w:left="1445"/>
              <w:rPr>
                <w:rFonts w:ascii="方正书宋_GBK" w:eastAsia="方正书宋_GBK" w:cs="SimSun" w:hint="eastAsia"/>
                <w:sz w:val="18"/>
                <w:szCs w:val="18"/>
              </w:rPr>
            </w:pPr>
            <w:r>
              <w:rPr>
                <w:rFonts w:ascii="方正书宋_GBK" w:eastAsia="方正书宋_GBK" w:cs="SimSun" w:hint="eastAsia"/>
                <w:spacing w:val="-2"/>
                <w:sz w:val="18"/>
                <w:szCs w:val="18"/>
              </w:rPr>
              <w:t>处置时间</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699"/>
              <w:rPr>
                <w:rFonts w:ascii="方正书宋_GBK" w:eastAsia="方正书宋_GBK" w:cs="SimSun" w:hint="eastAsia"/>
                <w:sz w:val="18"/>
                <w:szCs w:val="18"/>
              </w:rPr>
            </w:pPr>
            <w:r>
              <w:rPr>
                <w:rFonts w:ascii="方正书宋_GBK" w:eastAsia="方正书宋_GBK" w:cs="SimSun" w:hint="eastAsia"/>
                <w:spacing w:val="-2"/>
                <w:sz w:val="18"/>
                <w:szCs w:val="18"/>
              </w:rPr>
              <w:t>处置收益</w:t>
            </w:r>
          </w:p>
        </w:tc>
        <w:tc>
          <w:tcPr>
            <w:tcW w:w="2523" w:type="dxa"/>
          </w:tcPr>
          <w:p>
            <w:pPr>
              <w:pStyle w:val="136"/>
              <w:rPr>
                <w:rFonts w:ascii="方正书宋_GBK" w:eastAsia="方正书宋_GBK" w:hint="eastAsia"/>
              </w:rPr>
            </w:pPr>
          </w:p>
        </w:tc>
      </w:tr>
    </w:tbl>
    <w:p>
      <w:pPr>
        <w:rPr>
          <w:rFonts w:ascii="方正书宋_GBK" w:eastAsia="方正书宋_GBK" w:hint="eastAsia"/>
          <w:sz w:val="21"/>
        </w:rPr>
      </w:pPr>
    </w:p>
    <w:p>
      <w:pPr>
        <w:rPr>
          <w:rFonts w:ascii="方正书宋_GBK" w:eastAsia="方正书宋_GBK" w:cs="Arial" w:hint="eastAsia"/>
          <w:sz w:val="21"/>
          <w:szCs w:val="21"/>
        </w:rPr>
        <w:sectPr>
          <w:headerReference w:type="default" r:id="rId2"/>
          <w:footerReference w:type="default" r:id="rId3"/>
          <w:footerReference w:type="even" r:id="rId4"/>
          <w:pgSz w:w="11906" w:h="16838"/>
          <w:pgMar w:top="1" w:right="891" w:bottom="0" w:left="1135" w:header="0" w:footer="0" w:gutter="0"/>
          <w:docGrid w:linePitch="435" w:charSpace="0"/>
        </w:sectPr>
      </w:pPr>
    </w:p>
    <w:p>
      <w:pPr>
        <w:pStyle w:val="73"/>
        <w:spacing w:before="65" w:line="228" w:lineRule="auto"/>
        <w:rPr>
          <w:rFonts w:ascii="方正书宋_GBK" w:eastAsia="方正书宋_GBK" w:hint="eastAsia"/>
        </w:rPr>
      </w:pPr>
      <w:r>
        <w:rPr>
          <w:rFonts w:ascii="方正书宋_GBK" w:eastAsia="方正书宋_GBK" w:hint="eastAsia"/>
          <w:b/>
          <w:bCs/>
          <w:spacing w:val="3"/>
        </w:rPr>
        <w:t>填写说明：</w:t>
      </w:r>
    </w:p>
    <w:p>
      <w:pPr>
        <w:pStyle w:val="73"/>
        <w:spacing w:before="65" w:line="228" w:lineRule="auto"/>
        <w:ind w:left="434"/>
        <w:outlineLvl w:val="0"/>
        <w:rPr>
          <w:rFonts w:ascii="方正书宋_GBK" w:eastAsia="方正书宋_GBK" w:hint="eastAsia"/>
        </w:rPr>
      </w:pPr>
      <w:r>
        <w:rPr>
          <w:rFonts w:ascii="方正书宋_GBK" w:eastAsia="方正书宋_GBK" w:hint="eastAsia"/>
          <w:b/>
          <w:bCs/>
          <w:spacing w:val="4"/>
        </w:rPr>
        <w:t>1.入账会计科目是固定资产、文物文化资产。</w:t>
      </w:r>
    </w:p>
    <w:p>
      <w:pPr>
        <w:pStyle w:val="73"/>
        <w:spacing w:before="65" w:line="228" w:lineRule="auto"/>
        <w:ind w:left="421"/>
        <w:outlineLvl w:val="0"/>
        <w:rPr>
          <w:rFonts w:ascii="方正书宋_GBK" w:eastAsia="方正书宋_GBK" w:hint="eastAsia"/>
        </w:rPr>
      </w:pPr>
      <w:r>
        <w:rPr>
          <w:rFonts w:ascii="方正书宋_GBK" w:eastAsia="方正书宋_GBK" w:hint="eastAsia"/>
          <w:b/>
          <w:bCs/>
          <w:spacing w:val="5"/>
        </w:rPr>
        <w:t>2.分类代码是资产分类国标，按最末级填列。</w:t>
      </w:r>
    </w:p>
    <w:p>
      <w:pPr>
        <w:pStyle w:val="73"/>
        <w:spacing w:before="64" w:line="228" w:lineRule="auto"/>
        <w:ind w:left="422"/>
        <w:outlineLvl w:val="0"/>
        <w:rPr>
          <w:rFonts w:ascii="方正书宋_GBK" w:eastAsia="方正书宋_GBK" w:hint="eastAsia"/>
        </w:rPr>
      </w:pPr>
      <w:r>
        <w:rPr>
          <w:rFonts w:ascii="方正书宋_GBK" w:eastAsia="方正书宋_GBK" w:hint="eastAsia"/>
          <w:b/>
          <w:bCs/>
          <w:spacing w:val="6"/>
        </w:rPr>
        <w:t>3.计量单位分为件、件(套)等分情况选择</w:t>
      </w:r>
      <w:r>
        <w:rPr>
          <w:rFonts w:ascii="方正书宋_GBK" w:eastAsia="方正书宋_GBK" w:hint="eastAsia"/>
          <w:b/>
          <w:bCs/>
          <w:spacing w:val="5"/>
        </w:rPr>
        <w:t>填列。</w:t>
      </w:r>
    </w:p>
    <w:p>
      <w:pPr>
        <w:pStyle w:val="73"/>
        <w:spacing w:before="64" w:line="274" w:lineRule="auto"/>
        <w:ind w:left="3" w:right="69" w:firstLine="414"/>
        <w:rPr>
          <w:rFonts w:ascii="方正书宋_GBK" w:eastAsia="方正书宋_GBK" w:hint="eastAsia"/>
        </w:rPr>
      </w:pPr>
      <w:r>
        <w:rPr>
          <w:rFonts w:ascii="方正书宋_GBK" w:eastAsia="方正书宋_GBK" w:hint="eastAsia"/>
          <w:b/>
          <w:bCs/>
          <w:spacing w:val="5"/>
        </w:rPr>
        <w:t>4.文物级别按照全国重点文物保护单位、省级文物保护单位、市县级文物保护单位、尚未核</w:t>
      </w:r>
      <w:r>
        <w:rPr>
          <w:rFonts w:ascii="方正书宋_GBK" w:eastAsia="方正书宋_GBK" w:hint="eastAsia"/>
          <w:spacing w:val="12"/>
        </w:rPr>
        <w:t xml:space="preserve"> </w:t>
      </w:r>
      <w:r>
        <w:rPr>
          <w:rFonts w:ascii="方正书宋_GBK" w:eastAsia="方正书宋_GBK" w:hint="eastAsia"/>
          <w:b/>
          <w:bCs/>
          <w:spacing w:val="7"/>
        </w:rPr>
        <w:t>定公布为文物保护单位的不可移动文物分情况选择</w:t>
      </w:r>
      <w:r>
        <w:rPr>
          <w:rFonts w:ascii="方正书宋_GBK" w:eastAsia="方正书宋_GBK" w:hint="eastAsia"/>
          <w:b/>
          <w:bCs/>
          <w:spacing w:val="6"/>
        </w:rPr>
        <w:t>填列。</w:t>
      </w:r>
    </w:p>
    <w:p>
      <w:pPr>
        <w:pStyle w:val="73"/>
        <w:spacing w:before="34" w:line="226" w:lineRule="auto"/>
        <w:ind w:left="422"/>
        <w:outlineLvl w:val="0"/>
        <w:rPr>
          <w:rFonts w:ascii="方正书宋_GBK" w:eastAsia="方正书宋_GBK" w:hint="eastAsia"/>
        </w:rPr>
      </w:pPr>
      <w:r>
        <w:rPr>
          <w:rFonts w:ascii="方正书宋_GBK" w:eastAsia="方正书宋_GBK" w:hint="eastAsia"/>
          <w:b/>
          <w:bCs/>
          <w:spacing w:val="5"/>
        </w:rPr>
        <w:t>5.价值类型为历史成本、公允价值分情况选择填列。</w:t>
      </w:r>
    </w:p>
    <w:p>
      <w:pPr>
        <w:pStyle w:val="73"/>
        <w:spacing w:before="67" w:line="226" w:lineRule="auto"/>
        <w:ind w:left="420"/>
        <w:outlineLvl w:val="0"/>
        <w:rPr>
          <w:rFonts w:ascii="方正书宋_GBK" w:eastAsia="方正书宋_GBK" w:hint="eastAsia"/>
        </w:rPr>
      </w:pPr>
      <w:r>
        <w:rPr>
          <w:rFonts w:ascii="方正书宋_GBK" w:eastAsia="方正书宋_GBK" w:hint="eastAsia"/>
          <w:b/>
          <w:bCs/>
          <w:spacing w:val="5"/>
        </w:rPr>
        <w:t>6.资产原值是该文物入账价值。</w:t>
      </w:r>
    </w:p>
    <w:p>
      <w:pPr>
        <w:pStyle w:val="73"/>
        <w:spacing w:before="66" w:line="228" w:lineRule="auto"/>
        <w:ind w:left="423"/>
        <w:outlineLvl w:val="0"/>
        <w:rPr>
          <w:rFonts w:ascii="方正书宋_GBK" w:eastAsia="方正书宋_GBK" w:hint="eastAsia"/>
        </w:rPr>
      </w:pPr>
      <w:r>
        <w:rPr>
          <w:rFonts w:ascii="方正书宋_GBK" w:eastAsia="方正书宋_GBK" w:hint="eastAsia"/>
          <w:b/>
          <w:bCs/>
          <w:spacing w:val="6"/>
        </w:rPr>
        <w:t>7.财政性资金、非财政性资金根据资金来源填写。</w:t>
      </w:r>
    </w:p>
    <w:p>
      <w:pPr>
        <w:pStyle w:val="73"/>
        <w:spacing w:before="65" w:line="228" w:lineRule="auto"/>
        <w:ind w:left="419"/>
        <w:outlineLvl w:val="0"/>
        <w:rPr>
          <w:rFonts w:ascii="方正书宋_GBK" w:eastAsia="方正书宋_GBK" w:hint="eastAsia"/>
        </w:rPr>
      </w:pPr>
      <w:r>
        <w:rPr>
          <w:rFonts w:ascii="方正书宋_GBK" w:eastAsia="方正书宋_GBK" w:hint="eastAsia"/>
          <w:b/>
          <w:bCs/>
        </w:rPr>
        <w:t>8.入账状态选择“已入财务账”、“已入备查账”或“</w:t>
      </w:r>
      <w:r>
        <w:rPr>
          <w:rFonts w:ascii="方正书宋_GBK" w:eastAsia="方正书宋_GBK" w:hint="eastAsia"/>
          <w:b/>
          <w:bCs/>
          <w:spacing w:val="-1"/>
        </w:rPr>
        <w:t>未入账”。</w:t>
      </w:r>
    </w:p>
    <w:p>
      <w:pPr>
        <w:pStyle w:val="73"/>
        <w:spacing w:before="65" w:line="228" w:lineRule="auto"/>
        <w:ind w:left="419"/>
        <w:outlineLvl w:val="0"/>
        <w:rPr>
          <w:rFonts w:ascii="方正书宋_GBK" w:eastAsia="方正书宋_GBK" w:hint="eastAsia"/>
        </w:rPr>
      </w:pPr>
      <w:r>
        <w:rPr>
          <w:rFonts w:ascii="方正书宋_GBK" w:eastAsia="方正书宋_GBK" w:hint="eastAsia"/>
          <w:b/>
          <w:bCs/>
          <w:spacing w:val="5"/>
        </w:rPr>
        <w:t>9.管理部门为管理文物所属单位的行政部门。</w:t>
      </w:r>
    </w:p>
    <w:p>
      <w:pPr>
        <w:pStyle w:val="73"/>
        <w:spacing w:before="65" w:line="228" w:lineRule="auto"/>
        <w:ind w:left="434"/>
        <w:outlineLvl w:val="0"/>
        <w:rPr>
          <w:rFonts w:ascii="方正书宋_GBK" w:eastAsia="方正书宋_GBK" w:hint="eastAsia"/>
        </w:rPr>
      </w:pPr>
      <w:r>
        <w:rPr>
          <w:rFonts w:ascii="方正书宋_GBK" w:eastAsia="方正书宋_GBK" w:hint="eastAsia"/>
          <w:b/>
          <w:bCs/>
          <w:spacing w:val="6"/>
        </w:rPr>
        <w:t>10.保管收藏单位为保管收藏文物资源资产的各级各类行政事业单位。</w:t>
      </w:r>
    </w:p>
    <w:p>
      <w:pPr>
        <w:pStyle w:val="73"/>
        <w:spacing w:before="66" w:line="228" w:lineRule="auto"/>
        <w:ind w:left="434"/>
        <w:outlineLvl w:val="0"/>
        <w:rPr>
          <w:rFonts w:ascii="方正书宋_GBK" w:eastAsia="方正书宋_GBK" w:hint="eastAsia"/>
        </w:rPr>
      </w:pPr>
      <w:r>
        <w:rPr>
          <w:rFonts w:ascii="方正书宋_GBK" w:eastAsia="方正书宋_GBK" w:hint="eastAsia"/>
          <w:b/>
          <w:bCs/>
          <w:spacing w:val="5"/>
        </w:rPr>
        <w:t>11.文物登记号是指文物在现管理收藏单位的登记号。</w:t>
      </w:r>
    </w:p>
    <w:p>
      <w:pPr>
        <w:pStyle w:val="73"/>
        <w:spacing w:before="65" w:line="226" w:lineRule="auto"/>
        <w:ind w:left="434"/>
        <w:outlineLvl w:val="0"/>
        <w:rPr>
          <w:rFonts w:ascii="方正书宋_GBK" w:eastAsia="方正书宋_GBK" w:hint="eastAsia"/>
        </w:rPr>
      </w:pPr>
      <w:r>
        <w:rPr>
          <w:rFonts w:ascii="方正书宋_GBK" w:eastAsia="方正书宋_GBK" w:hint="eastAsia"/>
          <w:b/>
          <w:bCs/>
          <w:spacing w:val="5"/>
        </w:rPr>
        <w:t>12.按照是否可计价选择“是”或“否”。</w:t>
      </w:r>
    </w:p>
    <w:p>
      <w:pPr>
        <w:pStyle w:val="73"/>
        <w:spacing w:before="67" w:line="228" w:lineRule="auto"/>
        <w:ind w:left="434"/>
        <w:outlineLvl w:val="0"/>
        <w:rPr>
          <w:rFonts w:ascii="方正书宋_GBK" w:eastAsia="方正书宋_GBK" w:hint="eastAsia"/>
        </w:rPr>
      </w:pPr>
      <w:r>
        <w:rPr>
          <w:rFonts w:ascii="方正书宋_GBK" w:eastAsia="方正书宋_GBK" w:hint="eastAsia"/>
          <w:b/>
          <w:bCs/>
          <w:spacing w:val="6"/>
        </w:rPr>
        <w:t>13.使用状态分为展览、借出、开放、未开放、</w:t>
      </w:r>
      <w:r>
        <w:rPr>
          <w:rFonts w:ascii="方正书宋_GBK" w:eastAsia="方正书宋_GBK" w:hint="eastAsia"/>
          <w:b/>
          <w:bCs/>
          <w:spacing w:val="5"/>
        </w:rPr>
        <w:t>修缮中等分情况选择填列。</w:t>
      </w:r>
    </w:p>
    <w:p>
      <w:pPr>
        <w:pStyle w:val="73"/>
        <w:spacing w:before="66" w:line="228" w:lineRule="auto"/>
        <w:ind w:left="434"/>
        <w:outlineLvl w:val="0"/>
        <w:rPr>
          <w:rFonts w:ascii="方正书宋_GBK" w:eastAsia="方正书宋_GBK" w:hint="eastAsia"/>
        </w:rPr>
      </w:pPr>
      <w:r>
        <w:rPr>
          <w:rFonts w:ascii="方正书宋_GBK" w:eastAsia="方正书宋_GBK" w:hint="eastAsia"/>
          <w:b/>
          <w:bCs/>
          <w:spacing w:val="6"/>
        </w:rPr>
        <w:t>14.公布日期/入藏日期是文物被现收藏单位登记入库的</w:t>
      </w:r>
      <w:r>
        <w:rPr>
          <w:rFonts w:ascii="方正书宋_GBK" w:eastAsia="方正书宋_GBK" w:hint="eastAsia"/>
          <w:b/>
          <w:bCs/>
          <w:spacing w:val="5"/>
        </w:rPr>
        <w:t>日期。</w:t>
      </w:r>
    </w:p>
    <w:p>
      <w:pPr>
        <w:pStyle w:val="73"/>
        <w:spacing w:before="66" w:line="228" w:lineRule="auto"/>
        <w:ind w:left="434"/>
        <w:outlineLvl w:val="0"/>
        <w:rPr>
          <w:rFonts w:ascii="方正书宋_GBK" w:eastAsia="方正书宋_GBK" w:hint="eastAsia"/>
        </w:rPr>
      </w:pPr>
      <w:r>
        <w:rPr>
          <w:rFonts w:ascii="方正书宋_GBK" w:eastAsia="方正书宋_GBK" w:hint="eastAsia"/>
          <w:b/>
          <w:bCs/>
          <w:spacing w:val="7"/>
        </w:rPr>
        <w:t>15.文物完整度分为完整、基本完整、残缺、严重残缺（含缺失部件</w:t>
      </w:r>
      <w:r>
        <w:rPr>
          <w:rFonts w:ascii="方正书宋_GBK" w:eastAsia="方正书宋_GBK" w:hint="eastAsia"/>
          <w:b/>
          <w:bCs/>
          <w:spacing w:val="-50"/>
        </w:rPr>
        <w:t>），</w:t>
      </w:r>
      <w:r>
        <w:rPr>
          <w:rFonts w:ascii="方正书宋_GBK" w:eastAsia="方正书宋_GBK" w:hint="eastAsia"/>
          <w:b/>
          <w:bCs/>
          <w:spacing w:val="7"/>
        </w:rPr>
        <w:t>分</w:t>
      </w:r>
      <w:r>
        <w:rPr>
          <w:rFonts w:ascii="方正书宋_GBK" w:eastAsia="方正书宋_GBK" w:hint="eastAsia"/>
          <w:b/>
          <w:bCs/>
          <w:spacing w:val="6"/>
        </w:rPr>
        <w:t>情况选择填列。</w:t>
      </w:r>
    </w:p>
    <w:p>
      <w:pPr>
        <w:pStyle w:val="73"/>
        <w:spacing w:before="65" w:line="274" w:lineRule="auto"/>
        <w:ind w:firstLine="434"/>
        <w:rPr>
          <w:rFonts w:ascii="方正书宋_GBK" w:eastAsia="方正书宋_GBK" w:hint="eastAsia"/>
        </w:rPr>
      </w:pPr>
      <w:r>
        <w:rPr>
          <w:rFonts w:ascii="方正书宋_GBK" w:eastAsia="方正书宋_GBK" w:hint="eastAsia"/>
          <w:b/>
          <w:bCs/>
          <w:spacing w:val="4"/>
        </w:rPr>
        <w:t>16.文物来源包括文物普查、考古调查、勘探和发掘、征集、购买、调拨、捐赠、依法置换、</w:t>
      </w:r>
      <w:r>
        <w:rPr>
          <w:rFonts w:ascii="方正书宋_GBK" w:eastAsia="方正书宋_GBK" w:hint="eastAsia"/>
        </w:rPr>
        <w:t xml:space="preserve"> </w:t>
      </w:r>
      <w:r>
        <w:rPr>
          <w:rFonts w:ascii="方正书宋_GBK" w:eastAsia="方正书宋_GBK" w:hint="eastAsia"/>
          <w:b/>
          <w:bCs/>
          <w:spacing w:val="6"/>
        </w:rPr>
        <w:t>依法接收、指定保管等方式。</w:t>
      </w:r>
    </w:p>
    <w:p>
      <w:pPr>
        <w:pStyle w:val="15"/>
        <w:ind w:firstLine="560"/>
      </w:pPr>
    </w:p>
    <w:p>
      <w:pPr>
        <w:pStyle w:val="15"/>
        <w:ind w:firstLine="560"/>
      </w:pPr>
    </w:p>
    <w:p>
      <w:pPr>
        <w:pStyle w:val="15"/>
        <w:ind w:firstLine="560"/>
      </w:pPr>
    </w:p>
    <w:p>
      <w:pPr>
        <w:pStyle w:val="15"/>
        <w:ind w:firstLine="560"/>
      </w:pPr>
    </w:p>
    <w:p>
      <w:pPr>
        <w:pStyle w:val="15"/>
        <w:ind w:firstLine="560"/>
      </w:pPr>
    </w:p>
    <w:p>
      <w:pPr>
        <w:pStyle w:val="15"/>
        <w:ind w:firstLine="560"/>
      </w:pPr>
    </w:p>
    <w:p>
      <w:pPr>
        <w:pStyle w:val="15"/>
        <w:ind w:firstLine="560"/>
        <w:rPr>
          <w:rFonts w:ascii="方正书宋_GBK" w:eastAsia="方正书宋_GBK" w:hint="eastAsia"/>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rPr>
      </w:pPr>
    </w:p>
    <w:p>
      <w:pPr>
        <w:pStyle w:val="15"/>
        <w:ind w:firstLine="560"/>
        <w:rPr>
          <w:rFonts w:ascii="方正书宋_GBK" w:eastAsia="方正书宋_GBK" w:hint="eastAsia"/>
        </w:rPr>
      </w:pPr>
    </w:p>
    <w:p>
      <w:pPr>
        <w:pStyle w:val="15"/>
        <w:ind w:firstLine="560"/>
        <w:rPr>
          <w:rFonts w:ascii="方正书宋_GBK" w:eastAsia="方正书宋_GBK" w:hint="eastAsia"/>
        </w:rPr>
      </w:pPr>
    </w:p>
    <w:p>
      <w:pPr>
        <w:pStyle w:val="15"/>
        <w:ind w:firstLine="560"/>
        <w:rPr>
          <w:rFonts w:ascii="方正书宋_GBK" w:eastAsia="方正书宋_GBK" w:hint="eastAsia"/>
        </w:rPr>
      </w:pPr>
    </w:p>
    <w:p>
      <w:pPr>
        <w:spacing w:before="148" w:line="218" w:lineRule="auto"/>
        <w:ind w:left="53"/>
        <w:rPr>
          <w:rFonts w:ascii="方正书宋_GBK" w:eastAsia="方正书宋_GBK" w:cs="SimSun" w:hint="eastAsia"/>
          <w:sz w:val="24"/>
          <w:szCs w:val="24"/>
        </w:rPr>
      </w:pPr>
      <w:r>
        <w:rPr>
          <w:rFonts w:ascii="方正书宋_GBK" w:eastAsia="方正书宋_GBK" w:cs="SimSun" w:hint="eastAsia"/>
          <w:spacing w:val="-15"/>
          <w:sz w:val="24"/>
          <w:szCs w:val="24"/>
        </w:rPr>
        <w:t>附2</w:t>
      </w:r>
    </w:p>
    <w:p>
      <w:pPr>
        <w:spacing w:before="84" w:line="218" w:lineRule="auto"/>
        <w:ind w:left="2671"/>
        <w:rPr>
          <w:rFonts w:ascii="方正书宋_GBK" w:eastAsia="方正书宋_GBK" w:cs="SimSun" w:hint="eastAsia"/>
          <w:sz w:val="28"/>
          <w:szCs w:val="28"/>
        </w:rPr>
      </w:pPr>
      <w:r>
        <w:rPr>
          <w:rFonts w:ascii="方正书宋_GBK" w:eastAsia="方正书宋_GBK" w:cs="SimSun" w:hint="eastAsia"/>
          <w:spacing w:val="-1"/>
          <w:sz w:val="28"/>
          <w:szCs w:val="28"/>
        </w:rPr>
        <w:t>可移动文物资源资产信息卡参考样式</w:t>
      </w:r>
    </w:p>
    <w:p>
      <w:pPr>
        <w:spacing w:before="96"/>
        <w:rPr>
          <w:rFonts w:ascii="方正书宋_GBK" w:eastAsia="方正书宋_GBK" w:hint="eastAsia"/>
        </w:rPr>
      </w:pPr>
    </w:p>
    <w:p>
      <w:pPr>
        <w:spacing w:before="95"/>
        <w:rPr>
          <w:rFonts w:ascii="方正书宋_GBK" w:eastAsia="方正书宋_GBK" w:hint="eastAsia"/>
        </w:rPr>
      </w:pPr>
    </w:p>
    <w:tbl>
      <w:tblPr>
        <w:jc w:val="left"/>
        <w:tblInd w:w="2" w:type="dxa"/>
        <w:tblW w:w="987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Pr>
      <w:tblGrid>
        <w:gridCol w:w="2208"/>
        <w:gridCol w:w="2683"/>
        <w:gridCol w:w="782"/>
        <w:gridCol w:w="1677"/>
        <w:gridCol w:w="2523"/>
      </w:tblGrid>
      <w:tr>
        <w:trPr>
          <w:trHeight w:val="299"/>
        </w:trPr>
        <w:tc>
          <w:tcPr>
            <w:tcW w:w="9873" w:type="dxa"/>
            <w:gridSpan w:val="5"/>
          </w:tcPr>
          <w:p>
            <w:pPr>
              <w:spacing w:before="31" w:line="199" w:lineRule="auto"/>
              <w:ind w:left="70"/>
              <w:rPr>
                <w:rFonts w:ascii="方正书宋_GBK" w:eastAsia="方正书宋_GBK" w:cs="SimSun" w:hint="eastAsia"/>
                <w:sz w:val="24"/>
                <w:szCs w:val="24"/>
              </w:rPr>
            </w:pPr>
            <w:r>
              <w:rPr>
                <w:rFonts w:ascii="方正书宋_GBK" w:eastAsia="方正书宋_GBK" w:cs="SimSun" w:hint="eastAsia"/>
                <w:spacing w:val="-2"/>
                <w:sz w:val="24"/>
                <w:szCs w:val="24"/>
              </w:rPr>
              <w:t>基本信息</w:t>
            </w:r>
          </w:p>
        </w:tc>
      </w:tr>
      <w:tr>
        <w:trPr>
          <w:trHeight w:val="310"/>
        </w:trPr>
        <w:tc>
          <w:tcPr>
            <w:tcW w:w="2208" w:type="dxa"/>
          </w:tcPr>
          <w:p>
            <w:pPr>
              <w:spacing w:before="68"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资产编号</w:t>
            </w:r>
          </w:p>
        </w:tc>
        <w:tc>
          <w:tcPr>
            <w:tcW w:w="2683" w:type="dxa"/>
          </w:tcPr>
          <w:p>
            <w:pPr>
              <w:pStyle w:val="136"/>
              <w:rPr>
                <w:rFonts w:ascii="方正书宋_GBK" w:eastAsia="方正书宋_GBK" w:hint="eastAsia"/>
              </w:rPr>
            </w:pPr>
          </w:p>
        </w:tc>
        <w:tc>
          <w:tcPr>
            <w:tcW w:w="2459" w:type="dxa"/>
            <w:gridSpan w:val="2"/>
          </w:tcPr>
          <w:p>
            <w:pPr>
              <w:spacing w:before="67" w:line="209" w:lineRule="auto"/>
              <w:ind w:left="1337"/>
              <w:rPr>
                <w:rFonts w:ascii="方正书宋_GBK" w:eastAsia="方正书宋_GBK" w:cs="SimSun" w:hint="eastAsia"/>
                <w:sz w:val="18"/>
                <w:szCs w:val="18"/>
              </w:rPr>
            </w:pPr>
            <w:r>
              <w:rPr>
                <w:rFonts w:ascii="方正书宋_GBK" w:eastAsia="方正书宋_GBK" w:cs="SimSun" w:hint="eastAsia"/>
                <w:spacing w:val="-2"/>
                <w:sz w:val="18"/>
                <w:szCs w:val="18"/>
              </w:rPr>
              <w:t>单位会计科目</w:t>
            </w:r>
          </w:p>
        </w:tc>
        <w:tc>
          <w:tcPr>
            <w:tcW w:w="2523" w:type="dxa"/>
          </w:tcPr>
          <w:p>
            <w:pPr>
              <w:pStyle w:val="136"/>
              <w:rPr>
                <w:rFonts w:ascii="方正书宋_GBK" w:eastAsia="方正书宋_GBK" w:hint="eastAsia"/>
              </w:rPr>
            </w:pPr>
          </w:p>
        </w:tc>
      </w:tr>
      <w:tr>
        <w:trPr>
          <w:trHeight w:val="310"/>
        </w:trPr>
        <w:tc>
          <w:tcPr>
            <w:tcW w:w="2208" w:type="dxa"/>
          </w:tcPr>
          <w:p>
            <w:pPr>
              <w:spacing w:before="68"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资产分类</w:t>
            </w:r>
          </w:p>
        </w:tc>
        <w:tc>
          <w:tcPr>
            <w:tcW w:w="2683" w:type="dxa"/>
          </w:tcPr>
          <w:p>
            <w:pPr>
              <w:pStyle w:val="136"/>
              <w:rPr>
                <w:rFonts w:ascii="方正书宋_GBK" w:eastAsia="方正书宋_GBK" w:hint="eastAsia"/>
              </w:rPr>
            </w:pPr>
          </w:p>
        </w:tc>
        <w:tc>
          <w:tcPr>
            <w:tcW w:w="2459" w:type="dxa"/>
            <w:gridSpan w:val="2"/>
          </w:tcPr>
          <w:p>
            <w:pPr>
              <w:spacing w:before="56" w:line="206" w:lineRule="auto"/>
              <w:ind w:left="1625"/>
              <w:rPr>
                <w:rFonts w:ascii="方正书宋_GBK" w:eastAsia="方正书宋_GBK" w:cs="SimSun" w:hint="eastAsia"/>
                <w:sz w:val="20"/>
                <w:szCs w:val="20"/>
              </w:rPr>
            </w:pPr>
            <w:r>
              <w:rPr>
                <w:rFonts w:ascii="方正书宋_GBK" w:eastAsia="方正书宋_GBK" w:cs="SimSun" w:hint="eastAsia"/>
                <w:spacing w:val="-4"/>
                <w:sz w:val="20"/>
                <w:szCs w:val="20"/>
              </w:rPr>
              <w:t>资产名称</w:t>
            </w:r>
          </w:p>
        </w:tc>
        <w:tc>
          <w:tcPr>
            <w:tcW w:w="2523" w:type="dxa"/>
          </w:tcPr>
          <w:p>
            <w:pPr>
              <w:pStyle w:val="136"/>
              <w:rPr>
                <w:rFonts w:ascii="方正书宋_GBK" w:eastAsia="方正书宋_GBK" w:hint="eastAsia"/>
              </w:rPr>
            </w:pPr>
          </w:p>
        </w:tc>
      </w:tr>
      <w:tr>
        <w:trPr>
          <w:trHeight w:val="325"/>
        </w:trPr>
        <w:tc>
          <w:tcPr>
            <w:tcW w:w="2208" w:type="dxa"/>
          </w:tcPr>
          <w:p>
            <w:pPr>
              <w:spacing w:before="75" w:line="206" w:lineRule="auto"/>
              <w:ind w:left="1803"/>
              <w:rPr>
                <w:rFonts w:ascii="方正书宋_GBK" w:eastAsia="方正书宋_GBK" w:cs="SimSun" w:hint="eastAsia"/>
                <w:sz w:val="18"/>
                <w:szCs w:val="18"/>
              </w:rPr>
            </w:pPr>
            <w:r>
              <w:rPr>
                <w:rFonts w:ascii="方正书宋_GBK" w:eastAsia="方正书宋_GBK" w:cs="SimSun" w:hint="eastAsia"/>
                <w:spacing w:val="-3"/>
                <w:sz w:val="18"/>
                <w:szCs w:val="18"/>
              </w:rPr>
              <w:t>数量</w:t>
            </w:r>
          </w:p>
        </w:tc>
        <w:tc>
          <w:tcPr>
            <w:tcW w:w="2683" w:type="dxa"/>
          </w:tcPr>
          <w:p>
            <w:pPr>
              <w:pStyle w:val="136"/>
              <w:rPr>
                <w:rFonts w:ascii="方正书宋_GBK" w:eastAsia="方正书宋_GBK" w:hint="eastAsia"/>
              </w:rPr>
            </w:pPr>
          </w:p>
        </w:tc>
        <w:tc>
          <w:tcPr>
            <w:tcW w:w="2459" w:type="dxa"/>
            <w:gridSpan w:val="2"/>
          </w:tcPr>
          <w:p>
            <w:pPr>
              <w:spacing w:before="64" w:line="206" w:lineRule="auto"/>
              <w:ind w:left="1620"/>
              <w:rPr>
                <w:rFonts w:ascii="方正书宋_GBK" w:eastAsia="方正书宋_GBK" w:cs="SimSun" w:hint="eastAsia"/>
                <w:sz w:val="20"/>
                <w:szCs w:val="20"/>
              </w:rPr>
            </w:pPr>
            <w:r>
              <w:rPr>
                <w:rFonts w:ascii="方正书宋_GBK" w:eastAsia="方正书宋_GBK" w:cs="SimSun" w:hint="eastAsia"/>
                <w:spacing w:val="-3"/>
                <w:sz w:val="20"/>
                <w:szCs w:val="20"/>
              </w:rPr>
              <w:t>项目代码</w:t>
            </w:r>
          </w:p>
        </w:tc>
        <w:tc>
          <w:tcPr>
            <w:tcW w:w="2523" w:type="dxa"/>
          </w:tcPr>
          <w:p>
            <w:pPr>
              <w:pStyle w:val="136"/>
              <w:rPr>
                <w:rFonts w:ascii="方正书宋_GBK" w:eastAsia="方正书宋_GBK" w:hint="eastAsia"/>
              </w:rPr>
            </w:pPr>
          </w:p>
        </w:tc>
      </w:tr>
      <w:tr>
        <w:trPr>
          <w:trHeight w:val="310"/>
        </w:trPr>
        <w:tc>
          <w:tcPr>
            <w:tcW w:w="2208" w:type="dxa"/>
          </w:tcPr>
          <w:p>
            <w:pPr>
              <w:spacing w:before="67" w:line="209" w:lineRule="auto"/>
              <w:ind w:left="1083"/>
              <w:rPr>
                <w:rFonts w:ascii="方正书宋_GBK" w:eastAsia="方正书宋_GBK" w:cs="SimSun" w:hint="eastAsia"/>
                <w:sz w:val="18"/>
                <w:szCs w:val="18"/>
              </w:rPr>
            </w:pPr>
            <w:r>
              <w:rPr>
                <w:rFonts w:ascii="方正书宋_GBK" w:eastAsia="方正书宋_GBK" w:cs="SimSun" w:hint="eastAsia"/>
                <w:spacing w:val="-2"/>
                <w:sz w:val="18"/>
                <w:szCs w:val="18"/>
              </w:rPr>
              <w:t>数量计量单位</w:t>
            </w:r>
          </w:p>
        </w:tc>
        <w:tc>
          <w:tcPr>
            <w:tcW w:w="2683" w:type="dxa"/>
          </w:tcPr>
          <w:p>
            <w:pPr>
              <w:pStyle w:val="136"/>
              <w:rPr>
                <w:rFonts w:ascii="方正书宋_GBK" w:eastAsia="方正书宋_GBK" w:hint="eastAsia"/>
              </w:rPr>
            </w:pPr>
          </w:p>
        </w:tc>
        <w:tc>
          <w:tcPr>
            <w:tcW w:w="2459" w:type="dxa"/>
            <w:gridSpan w:val="2"/>
          </w:tcPr>
          <w:p>
            <w:pPr>
              <w:spacing w:before="56" w:line="206" w:lineRule="auto"/>
              <w:ind w:left="1216"/>
              <w:rPr>
                <w:rFonts w:ascii="方正书宋_GBK" w:eastAsia="方正书宋_GBK" w:cs="SimSun" w:hint="eastAsia"/>
                <w:sz w:val="20"/>
                <w:szCs w:val="20"/>
              </w:rPr>
            </w:pPr>
            <w:r>
              <w:rPr>
                <w:rFonts w:ascii="方正书宋_GBK" w:eastAsia="方正书宋_GBK" w:cs="SimSun" w:hint="eastAsia"/>
                <w:spacing w:val="-1"/>
                <w:sz w:val="20"/>
                <w:szCs w:val="20"/>
              </w:rPr>
              <w:t>采购组织形式</w:t>
            </w:r>
          </w:p>
        </w:tc>
        <w:tc>
          <w:tcPr>
            <w:tcW w:w="2523" w:type="dxa"/>
          </w:tcPr>
          <w:p>
            <w:pPr>
              <w:pStyle w:val="136"/>
              <w:rPr>
                <w:rFonts w:ascii="方正书宋_GBK" w:eastAsia="方正书宋_GBK" w:hint="eastAsia"/>
              </w:rPr>
            </w:pPr>
          </w:p>
        </w:tc>
      </w:tr>
      <w:tr>
        <w:trPr>
          <w:trHeight w:val="325"/>
        </w:trPr>
        <w:tc>
          <w:tcPr>
            <w:tcW w:w="2208" w:type="dxa"/>
          </w:tcPr>
          <w:p>
            <w:pPr>
              <w:spacing w:before="76" w:line="206" w:lineRule="auto"/>
              <w:ind w:left="1444"/>
              <w:rPr>
                <w:rFonts w:ascii="方正书宋_GBK" w:eastAsia="方正书宋_GBK" w:cs="SimSun" w:hint="eastAsia"/>
                <w:sz w:val="18"/>
                <w:szCs w:val="18"/>
              </w:rPr>
            </w:pPr>
            <w:r>
              <w:rPr>
                <w:rFonts w:ascii="方正书宋_GBK" w:eastAsia="方正书宋_GBK" w:cs="SimSun" w:hint="eastAsia"/>
                <w:spacing w:val="-2"/>
                <w:sz w:val="18"/>
                <w:szCs w:val="18"/>
              </w:rPr>
              <w:t>取得方式</w:t>
            </w:r>
          </w:p>
        </w:tc>
        <w:tc>
          <w:tcPr>
            <w:tcW w:w="2683" w:type="dxa"/>
          </w:tcPr>
          <w:p>
            <w:pPr>
              <w:pStyle w:val="136"/>
              <w:rPr>
                <w:rFonts w:ascii="方正书宋_GBK" w:eastAsia="方正书宋_GBK" w:hint="eastAsia"/>
              </w:rPr>
            </w:pPr>
          </w:p>
        </w:tc>
        <w:tc>
          <w:tcPr>
            <w:tcW w:w="2459" w:type="dxa"/>
            <w:gridSpan w:val="2"/>
          </w:tcPr>
          <w:p>
            <w:pPr>
              <w:spacing w:before="65" w:line="206" w:lineRule="auto"/>
              <w:ind w:left="1619"/>
              <w:rPr>
                <w:rFonts w:ascii="方正书宋_GBK" w:eastAsia="方正书宋_GBK" w:cs="SimSun" w:hint="eastAsia"/>
                <w:sz w:val="20"/>
                <w:szCs w:val="20"/>
              </w:rPr>
            </w:pPr>
            <w:r>
              <w:rPr>
                <w:rFonts w:ascii="方正书宋_GBK" w:eastAsia="方正书宋_GBK" w:cs="SimSun" w:hint="eastAsia"/>
                <w:spacing w:val="-2"/>
                <w:sz w:val="20"/>
                <w:szCs w:val="20"/>
              </w:rPr>
              <w:t>取得日期</w:t>
            </w:r>
          </w:p>
        </w:tc>
        <w:tc>
          <w:tcPr>
            <w:tcW w:w="2523" w:type="dxa"/>
          </w:tcPr>
          <w:p>
            <w:pPr>
              <w:pStyle w:val="136"/>
              <w:rPr>
                <w:rFonts w:ascii="方正书宋_GBK" w:eastAsia="方正书宋_GBK" w:hint="eastAsia"/>
              </w:rPr>
            </w:pPr>
          </w:p>
        </w:tc>
      </w:tr>
      <w:tr>
        <w:trPr>
          <w:trHeight w:val="310"/>
        </w:trPr>
        <w:tc>
          <w:tcPr>
            <w:tcW w:w="2208" w:type="dxa"/>
          </w:tcPr>
          <w:p>
            <w:pPr>
              <w:spacing w:before="68"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资产用途</w:t>
            </w:r>
          </w:p>
        </w:tc>
        <w:tc>
          <w:tcPr>
            <w:tcW w:w="2683" w:type="dxa"/>
          </w:tcPr>
          <w:p>
            <w:pPr>
              <w:pStyle w:val="136"/>
              <w:rPr>
                <w:rFonts w:ascii="方正书宋_GBK" w:eastAsia="方正书宋_GBK" w:hint="eastAsia"/>
              </w:rPr>
            </w:pPr>
          </w:p>
        </w:tc>
        <w:tc>
          <w:tcPr>
            <w:tcW w:w="2459" w:type="dxa"/>
            <w:gridSpan w:val="2"/>
          </w:tcPr>
          <w:p>
            <w:pPr>
              <w:spacing w:before="56" w:line="206" w:lineRule="auto"/>
              <w:ind w:left="1219"/>
              <w:rPr>
                <w:rFonts w:ascii="方正书宋_GBK" w:eastAsia="方正书宋_GBK" w:cs="SimSun" w:hint="eastAsia"/>
                <w:sz w:val="20"/>
                <w:szCs w:val="20"/>
              </w:rPr>
            </w:pPr>
            <w:r>
              <w:rPr>
                <w:rFonts w:ascii="方正书宋_GBK" w:eastAsia="方正书宋_GBK" w:cs="SimSun" w:hint="eastAsia"/>
                <w:spacing w:val="-2"/>
                <w:sz w:val="20"/>
                <w:szCs w:val="20"/>
              </w:rPr>
              <w:t>投入使用日期</w:t>
            </w:r>
          </w:p>
        </w:tc>
        <w:tc>
          <w:tcPr>
            <w:tcW w:w="2523" w:type="dxa"/>
          </w:tcPr>
          <w:p>
            <w:pPr>
              <w:pStyle w:val="136"/>
              <w:rPr>
                <w:rFonts w:ascii="方正书宋_GBK" w:eastAsia="方正书宋_GBK" w:hint="eastAsia"/>
              </w:rPr>
            </w:pPr>
          </w:p>
        </w:tc>
      </w:tr>
      <w:tr>
        <w:trPr>
          <w:trHeight w:val="310"/>
        </w:trPr>
        <w:tc>
          <w:tcPr>
            <w:tcW w:w="2208" w:type="dxa"/>
          </w:tcPr>
          <w:p>
            <w:pPr>
              <w:spacing w:before="67" w:line="209" w:lineRule="auto"/>
              <w:ind w:left="1082"/>
              <w:rPr>
                <w:rFonts w:ascii="方正书宋_GBK" w:eastAsia="方正书宋_GBK" w:cs="SimSun" w:hint="eastAsia"/>
                <w:sz w:val="18"/>
                <w:szCs w:val="18"/>
              </w:rPr>
            </w:pPr>
            <w:r>
              <w:rPr>
                <w:rFonts w:ascii="方正书宋_GBK" w:eastAsia="方正书宋_GBK" w:cs="SimSun" w:hint="eastAsia"/>
                <w:spacing w:val="-1"/>
                <w:sz w:val="18"/>
                <w:szCs w:val="18"/>
              </w:rPr>
              <w:t>配置批准单位</w:t>
            </w:r>
          </w:p>
        </w:tc>
        <w:tc>
          <w:tcPr>
            <w:tcW w:w="2683" w:type="dxa"/>
          </w:tcPr>
          <w:p>
            <w:pPr>
              <w:pStyle w:val="136"/>
              <w:rPr>
                <w:rFonts w:ascii="方正书宋_GBK" w:eastAsia="方正书宋_GBK" w:hint="eastAsia"/>
              </w:rPr>
            </w:pPr>
          </w:p>
        </w:tc>
        <w:tc>
          <w:tcPr>
            <w:tcW w:w="2459" w:type="dxa"/>
            <w:gridSpan w:val="2"/>
          </w:tcPr>
          <w:p>
            <w:pPr>
              <w:spacing w:before="55" w:line="209" w:lineRule="auto"/>
              <w:ind w:left="1618"/>
              <w:rPr>
                <w:rFonts w:ascii="方正书宋_GBK" w:eastAsia="方正书宋_GBK" w:cs="SimSun" w:hint="eastAsia"/>
                <w:sz w:val="20"/>
                <w:szCs w:val="20"/>
              </w:rPr>
            </w:pPr>
            <w:r>
              <w:rPr>
                <w:rFonts w:ascii="方正书宋_GBK" w:eastAsia="方正书宋_GBK" w:cs="SimSun" w:hint="eastAsia"/>
                <w:spacing w:val="-2"/>
                <w:sz w:val="20"/>
                <w:szCs w:val="20"/>
              </w:rPr>
              <w:t>文物等级</w:t>
            </w:r>
          </w:p>
        </w:tc>
        <w:tc>
          <w:tcPr>
            <w:tcW w:w="2523" w:type="dxa"/>
          </w:tcPr>
          <w:p>
            <w:pPr>
              <w:pStyle w:val="136"/>
              <w:rPr>
                <w:rFonts w:ascii="方正书宋_GBK" w:eastAsia="方正书宋_GBK" w:hint="eastAsia"/>
              </w:rPr>
            </w:pPr>
          </w:p>
        </w:tc>
      </w:tr>
      <w:tr>
        <w:trPr>
          <w:trHeight w:val="310"/>
        </w:trPr>
        <w:tc>
          <w:tcPr>
            <w:tcW w:w="2208" w:type="dxa"/>
          </w:tcPr>
          <w:p>
            <w:pPr>
              <w:spacing w:before="56" w:line="206" w:lineRule="auto"/>
              <w:ind w:left="1363"/>
              <w:rPr>
                <w:rFonts w:ascii="方正书宋_GBK" w:eastAsia="方正书宋_GBK" w:cs="SimSun" w:hint="eastAsia"/>
                <w:sz w:val="20"/>
                <w:szCs w:val="20"/>
              </w:rPr>
            </w:pPr>
            <w:r>
              <w:rPr>
                <w:rFonts w:ascii="方正书宋_GBK" w:eastAsia="方正书宋_GBK" w:cs="SimSun" w:hint="eastAsia"/>
                <w:spacing w:val="-2"/>
                <w:sz w:val="20"/>
                <w:szCs w:val="20"/>
              </w:rPr>
              <w:t>清查编号</w:t>
            </w: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10"/>
        </w:trPr>
        <w:tc>
          <w:tcPr>
            <w:tcW w:w="9873" w:type="dxa"/>
            <w:gridSpan w:val="5"/>
          </w:tcPr>
          <w:p>
            <w:pPr>
              <w:spacing w:before="34" w:line="204" w:lineRule="auto"/>
              <w:ind w:left="170"/>
              <w:rPr>
                <w:rFonts w:ascii="方正书宋_GBK" w:eastAsia="方正书宋_GBK" w:cs="SimSun" w:hint="eastAsia"/>
                <w:sz w:val="24"/>
                <w:szCs w:val="24"/>
              </w:rPr>
            </w:pPr>
            <w:r>
              <w:rPr>
                <w:rFonts w:ascii="方正书宋_GBK" w:eastAsia="方正书宋_GBK" w:cs="SimSun" w:hint="eastAsia"/>
                <w:spacing w:val="-2"/>
                <w:sz w:val="24"/>
                <w:szCs w:val="24"/>
              </w:rPr>
              <w:t>财务信息</w:t>
            </w:r>
          </w:p>
        </w:tc>
      </w:tr>
      <w:tr>
        <w:trPr>
          <w:trHeight w:val="374"/>
        </w:trPr>
        <w:tc>
          <w:tcPr>
            <w:tcW w:w="2208" w:type="dxa"/>
          </w:tcPr>
          <w:p>
            <w:pPr>
              <w:spacing w:before="87" w:line="241" w:lineRule="exact"/>
              <w:ind w:left="1442"/>
              <w:rPr>
                <w:rFonts w:ascii="方正书宋_GBK" w:eastAsia="方正书宋_GBK" w:cs="SimSun" w:hint="eastAsia"/>
                <w:sz w:val="18"/>
                <w:szCs w:val="18"/>
              </w:rPr>
            </w:pPr>
            <w:r>
              <w:rPr>
                <w:rFonts w:ascii="方正书宋_GBK" w:eastAsia="方正书宋_GBK" w:cs="SimSun" w:hint="eastAsia"/>
                <w:spacing w:val="-2"/>
                <w:position w:val="1"/>
                <w:sz w:val="18"/>
                <w:szCs w:val="18"/>
              </w:rPr>
              <w:t>价值类型</w:t>
            </w:r>
          </w:p>
        </w:tc>
        <w:tc>
          <w:tcPr>
            <w:tcW w:w="2683" w:type="dxa"/>
          </w:tcPr>
          <w:p>
            <w:pPr>
              <w:pStyle w:val="136"/>
              <w:rPr>
                <w:rFonts w:ascii="方正书宋_GBK" w:eastAsia="方正书宋_GBK" w:hint="eastAsia"/>
              </w:rPr>
            </w:pPr>
          </w:p>
        </w:tc>
        <w:tc>
          <w:tcPr>
            <w:tcW w:w="782" w:type="dxa"/>
            <w:vMerge w:val="restart"/>
            <w:tcBorders>
              <w:bottom w:val="nil"/>
            </w:tcBorders>
          </w:tcPr>
          <w:p>
            <w:pPr>
              <w:spacing w:before="205" w:line="202" w:lineRule="auto"/>
              <w:ind w:left="244" w:right="179"/>
              <w:rPr>
                <w:rFonts w:ascii="方正书宋_GBK" w:eastAsia="方正书宋_GBK" w:cs="SimSun" w:hint="eastAsia"/>
                <w:sz w:val="18"/>
                <w:szCs w:val="18"/>
              </w:rPr>
            </w:pPr>
            <w:r>
              <w:rPr>
                <w:rFonts w:ascii="方正书宋_GBK" w:eastAsia="方正书宋_GBK" w:cs="SimSun" w:hint="eastAsia"/>
                <w:spacing w:val="-5"/>
                <w:sz w:val="18"/>
                <w:szCs w:val="18"/>
              </w:rPr>
              <w:t>经费</w:t>
            </w:r>
            <w:r>
              <w:rPr>
                <w:rFonts w:ascii="方正书宋_GBK" w:eastAsia="方正书宋_GBK" w:cs="SimSun" w:hint="eastAsia"/>
                <w:sz w:val="18"/>
                <w:szCs w:val="18"/>
              </w:rPr>
              <w:t xml:space="preserve"> </w:t>
            </w:r>
            <w:r>
              <w:rPr>
                <w:rFonts w:ascii="方正书宋_GBK" w:eastAsia="方正书宋_GBK" w:cs="SimSun" w:hint="eastAsia"/>
                <w:spacing w:val="-4"/>
                <w:sz w:val="18"/>
                <w:szCs w:val="18"/>
              </w:rPr>
              <w:t>来源</w:t>
            </w:r>
          </w:p>
        </w:tc>
        <w:tc>
          <w:tcPr>
            <w:tcW w:w="1677" w:type="dxa"/>
          </w:tcPr>
          <w:p>
            <w:pPr>
              <w:spacing w:before="99" w:line="209" w:lineRule="auto"/>
              <w:ind w:left="374"/>
              <w:rPr>
                <w:rFonts w:ascii="方正书宋_GBK" w:eastAsia="方正书宋_GBK" w:cs="SimSun" w:hint="eastAsia"/>
                <w:sz w:val="18"/>
                <w:szCs w:val="18"/>
              </w:rPr>
            </w:pPr>
            <w:r>
              <w:rPr>
                <w:rFonts w:ascii="方正书宋_GBK" w:eastAsia="方正书宋_GBK" w:cs="SimSun" w:hint="eastAsia"/>
                <w:spacing w:val="-3"/>
                <w:sz w:val="18"/>
                <w:szCs w:val="18"/>
              </w:rPr>
              <w:t>财政拨款（元）</w:t>
            </w:r>
          </w:p>
        </w:tc>
        <w:tc>
          <w:tcPr>
            <w:tcW w:w="2523" w:type="dxa"/>
          </w:tcPr>
          <w:p>
            <w:pPr>
              <w:pStyle w:val="136"/>
              <w:rPr>
                <w:rFonts w:ascii="方正书宋_GBK" w:eastAsia="方正书宋_GBK" w:hint="eastAsia"/>
              </w:rPr>
            </w:pPr>
          </w:p>
        </w:tc>
      </w:tr>
      <w:tr>
        <w:trPr>
          <w:trHeight w:val="365"/>
        </w:trPr>
        <w:tc>
          <w:tcPr>
            <w:tcW w:w="2208" w:type="dxa"/>
          </w:tcPr>
          <w:p>
            <w:pPr>
              <w:spacing w:before="106" w:line="206" w:lineRule="auto"/>
              <w:ind w:left="910"/>
              <w:rPr>
                <w:rFonts w:ascii="方正书宋_GBK" w:eastAsia="方正书宋_GBK" w:cs="SimSun" w:hint="eastAsia"/>
                <w:sz w:val="18"/>
                <w:szCs w:val="18"/>
              </w:rPr>
            </w:pPr>
            <w:r>
              <w:rPr>
                <w:rFonts w:ascii="方正书宋_GBK" w:eastAsia="方正书宋_GBK" w:cs="SimSun" w:hint="eastAsia"/>
                <w:spacing w:val="-4"/>
                <w:sz w:val="18"/>
                <w:szCs w:val="18"/>
              </w:rPr>
              <w:t>资产原值（元）</w:t>
            </w:r>
          </w:p>
        </w:tc>
        <w:tc>
          <w:tcPr>
            <w:tcW w:w="2683" w:type="dxa"/>
          </w:tcPr>
          <w:p>
            <w:pPr>
              <w:pStyle w:val="136"/>
              <w:rPr>
                <w:rFonts w:ascii="方正书宋_GBK" w:eastAsia="方正书宋_GBK" w:hint="eastAsia"/>
              </w:rPr>
            </w:pPr>
          </w:p>
        </w:tc>
        <w:tc>
          <w:tcPr>
            <w:tcW w:w="782" w:type="dxa"/>
            <w:vMerge/>
            <w:tcBorders>
              <w:top w:val="nil"/>
            </w:tcBorders>
          </w:tcPr>
          <w:p/>
        </w:tc>
        <w:tc>
          <w:tcPr>
            <w:tcW w:w="1677" w:type="dxa"/>
          </w:tcPr>
          <w:p>
            <w:pPr>
              <w:spacing w:before="105" w:line="209" w:lineRule="auto"/>
              <w:ind w:left="197"/>
              <w:rPr>
                <w:rFonts w:ascii="方正书宋_GBK" w:eastAsia="方正书宋_GBK" w:cs="SimSun" w:hint="eastAsia"/>
                <w:sz w:val="18"/>
                <w:szCs w:val="18"/>
              </w:rPr>
            </w:pPr>
            <w:r>
              <w:rPr>
                <w:rFonts w:ascii="方正书宋_GBK" w:eastAsia="方正书宋_GBK" w:cs="SimSun" w:hint="eastAsia"/>
                <w:spacing w:val="-3"/>
                <w:sz w:val="18"/>
                <w:szCs w:val="18"/>
              </w:rPr>
              <w:t>非财政拨款（元）</w:t>
            </w:r>
          </w:p>
        </w:tc>
        <w:tc>
          <w:tcPr>
            <w:tcW w:w="2523" w:type="dxa"/>
          </w:tcPr>
          <w:p>
            <w:pPr>
              <w:pStyle w:val="136"/>
              <w:rPr>
                <w:rFonts w:ascii="方正书宋_GBK" w:eastAsia="方正书宋_GBK" w:hint="eastAsia"/>
              </w:rPr>
            </w:pPr>
          </w:p>
        </w:tc>
      </w:tr>
      <w:tr>
        <w:trPr>
          <w:trHeight w:val="345"/>
        </w:trPr>
        <w:tc>
          <w:tcPr>
            <w:tcW w:w="2208" w:type="dxa"/>
          </w:tcPr>
          <w:p>
            <w:pPr>
              <w:spacing w:before="63" w:line="241" w:lineRule="exact"/>
              <w:ind w:left="842"/>
              <w:rPr>
                <w:rFonts w:ascii="方正书宋_GBK" w:eastAsia="方正书宋_GBK" w:cs="SimSun" w:hint="eastAsia"/>
                <w:sz w:val="18"/>
                <w:szCs w:val="18"/>
              </w:rPr>
            </w:pPr>
            <w:r>
              <w:rPr>
                <w:rFonts w:ascii="方正书宋_GBK" w:eastAsia="方正书宋_GBK" w:cs="SimSun" w:hint="eastAsia"/>
                <w:spacing w:val="-6"/>
                <w:position w:val="1"/>
                <w:sz w:val="18"/>
                <w:szCs w:val="18"/>
              </w:rPr>
              <w:t>均价/单价（元）</w:t>
            </w:r>
          </w:p>
        </w:tc>
        <w:tc>
          <w:tcPr>
            <w:tcW w:w="2683" w:type="dxa"/>
          </w:tcPr>
          <w:p>
            <w:pPr>
              <w:pStyle w:val="136"/>
              <w:rPr>
                <w:rFonts w:ascii="方正书宋_GBK" w:eastAsia="方正书宋_GBK" w:hint="eastAsia"/>
              </w:rPr>
            </w:pPr>
          </w:p>
        </w:tc>
        <w:tc>
          <w:tcPr>
            <w:tcW w:w="782" w:type="dxa"/>
          </w:tcPr>
          <w:p>
            <w:pPr>
              <w:pStyle w:val="136"/>
              <w:rPr>
                <w:rFonts w:ascii="方正书宋_GBK" w:eastAsia="方正书宋_GBK" w:hint="eastAsia"/>
              </w:rPr>
            </w:pPr>
          </w:p>
        </w:tc>
        <w:tc>
          <w:tcPr>
            <w:tcW w:w="1677" w:type="dxa"/>
          </w:tcPr>
          <w:p>
            <w:pPr>
              <w:spacing w:before="75" w:line="209" w:lineRule="auto"/>
              <w:ind w:left="554"/>
              <w:rPr>
                <w:rFonts w:ascii="方正书宋_GBK" w:eastAsia="方正书宋_GBK" w:cs="SimSun" w:hint="eastAsia"/>
                <w:sz w:val="18"/>
                <w:szCs w:val="18"/>
              </w:rPr>
            </w:pPr>
            <w:r>
              <w:rPr>
                <w:rFonts w:ascii="方正书宋_GBK" w:eastAsia="方正书宋_GBK" w:cs="SimSun" w:hint="eastAsia"/>
                <w:spacing w:val="-2"/>
                <w:sz w:val="18"/>
                <w:szCs w:val="18"/>
              </w:rPr>
              <w:t>财务入帐状态</w:t>
            </w:r>
          </w:p>
        </w:tc>
        <w:tc>
          <w:tcPr>
            <w:tcW w:w="2523" w:type="dxa"/>
          </w:tcPr>
          <w:p>
            <w:pPr>
              <w:pStyle w:val="136"/>
              <w:rPr>
                <w:rFonts w:ascii="方正书宋_GBK" w:eastAsia="方正书宋_GBK" w:hint="eastAsia"/>
              </w:rPr>
            </w:pPr>
          </w:p>
        </w:tc>
      </w:tr>
      <w:tr>
        <w:trPr>
          <w:trHeight w:val="369"/>
        </w:trPr>
        <w:tc>
          <w:tcPr>
            <w:tcW w:w="2208" w:type="dxa"/>
          </w:tcPr>
          <w:p>
            <w:pPr>
              <w:spacing w:before="109" w:line="206" w:lineRule="auto"/>
              <w:ind w:left="1023"/>
              <w:rPr>
                <w:rFonts w:ascii="方正书宋_GBK" w:eastAsia="方正书宋_GBK" w:cs="SimSun" w:hint="eastAsia"/>
                <w:sz w:val="18"/>
                <w:szCs w:val="18"/>
              </w:rPr>
            </w:pPr>
            <w:r>
              <w:rPr>
                <w:rFonts w:ascii="方正书宋_GBK" w:eastAsia="方正书宋_GBK" w:cs="SimSun" w:hint="eastAsia"/>
                <w:spacing w:val="-5"/>
                <w:sz w:val="18"/>
                <w:szCs w:val="18"/>
              </w:rPr>
              <w:t>折旧/摊销状态</w:t>
            </w:r>
          </w:p>
        </w:tc>
        <w:tc>
          <w:tcPr>
            <w:tcW w:w="2683" w:type="dxa"/>
          </w:tcPr>
          <w:p>
            <w:pPr>
              <w:pStyle w:val="136"/>
              <w:rPr>
                <w:rFonts w:ascii="方正书宋_GBK" w:eastAsia="方正书宋_GBK" w:hint="eastAsia"/>
              </w:rPr>
            </w:pPr>
          </w:p>
        </w:tc>
        <w:tc>
          <w:tcPr>
            <w:tcW w:w="2459" w:type="dxa"/>
            <w:gridSpan w:val="2"/>
          </w:tcPr>
          <w:p>
            <w:pPr>
              <w:spacing w:before="109" w:line="206" w:lineRule="auto"/>
              <w:ind w:left="1515"/>
              <w:rPr>
                <w:rFonts w:ascii="方正书宋_GBK" w:eastAsia="方正书宋_GBK" w:cs="SimSun" w:hint="eastAsia"/>
                <w:sz w:val="18"/>
                <w:szCs w:val="18"/>
              </w:rPr>
            </w:pPr>
            <w:r>
              <w:rPr>
                <w:rFonts w:ascii="方正书宋_GBK" w:eastAsia="方正书宋_GBK" w:cs="SimSun" w:hint="eastAsia"/>
                <w:spacing w:val="-2"/>
                <w:sz w:val="18"/>
                <w:szCs w:val="18"/>
              </w:rPr>
              <w:t>记账凭记号</w:t>
            </w:r>
          </w:p>
        </w:tc>
        <w:tc>
          <w:tcPr>
            <w:tcW w:w="2523" w:type="dxa"/>
          </w:tcPr>
          <w:p>
            <w:pPr>
              <w:pStyle w:val="136"/>
              <w:rPr>
                <w:rFonts w:ascii="方正书宋_GBK" w:eastAsia="方正书宋_GBK" w:hint="eastAsia"/>
              </w:rPr>
            </w:pPr>
          </w:p>
        </w:tc>
      </w:tr>
      <w:tr>
        <w:trPr>
          <w:trHeight w:val="379"/>
        </w:trPr>
        <w:tc>
          <w:tcPr>
            <w:tcW w:w="2208" w:type="dxa"/>
          </w:tcPr>
          <w:p>
            <w:pPr>
              <w:spacing w:before="124" w:line="209" w:lineRule="auto"/>
              <w:ind w:left="1023"/>
              <w:rPr>
                <w:rFonts w:ascii="方正书宋_GBK" w:eastAsia="方正书宋_GBK" w:cs="SimSun" w:hint="eastAsia"/>
                <w:sz w:val="18"/>
                <w:szCs w:val="18"/>
              </w:rPr>
            </w:pPr>
            <w:r>
              <w:rPr>
                <w:rFonts w:ascii="方正书宋_GBK" w:eastAsia="方正书宋_GBK" w:cs="SimSun" w:hint="eastAsia"/>
                <w:spacing w:val="-5"/>
                <w:sz w:val="18"/>
                <w:szCs w:val="18"/>
              </w:rPr>
              <w:t>折旧/摊销年限</w:t>
            </w:r>
          </w:p>
        </w:tc>
        <w:tc>
          <w:tcPr>
            <w:tcW w:w="2683" w:type="dxa"/>
          </w:tcPr>
          <w:p>
            <w:pPr>
              <w:pStyle w:val="136"/>
              <w:rPr>
                <w:rFonts w:ascii="方正书宋_GBK" w:eastAsia="方正书宋_GBK" w:hint="eastAsia"/>
              </w:rPr>
            </w:pPr>
          </w:p>
        </w:tc>
        <w:tc>
          <w:tcPr>
            <w:tcW w:w="2459" w:type="dxa"/>
            <w:gridSpan w:val="2"/>
          </w:tcPr>
          <w:p>
            <w:pPr>
              <w:spacing w:before="124" w:line="209" w:lineRule="auto"/>
              <w:ind w:left="1277"/>
              <w:rPr>
                <w:rFonts w:ascii="方正书宋_GBK" w:eastAsia="方正书宋_GBK" w:cs="SimSun" w:hint="eastAsia"/>
                <w:sz w:val="18"/>
                <w:szCs w:val="18"/>
              </w:rPr>
            </w:pPr>
            <w:r>
              <w:rPr>
                <w:rFonts w:ascii="方正书宋_GBK" w:eastAsia="方正书宋_GBK" w:cs="SimSun" w:hint="eastAsia"/>
                <w:spacing w:val="-5"/>
                <w:sz w:val="18"/>
                <w:szCs w:val="18"/>
              </w:rPr>
              <w:t>折旧/摊销方法</w:t>
            </w:r>
          </w:p>
        </w:tc>
        <w:tc>
          <w:tcPr>
            <w:tcW w:w="2523" w:type="dxa"/>
          </w:tcPr>
          <w:p>
            <w:pPr>
              <w:pStyle w:val="136"/>
              <w:rPr>
                <w:rFonts w:ascii="方正书宋_GBK" w:eastAsia="方正书宋_GBK" w:hint="eastAsia"/>
              </w:rPr>
            </w:pPr>
          </w:p>
        </w:tc>
      </w:tr>
      <w:tr>
        <w:trPr>
          <w:trHeight w:val="364"/>
        </w:trPr>
        <w:tc>
          <w:tcPr>
            <w:tcW w:w="2208" w:type="dxa"/>
          </w:tcPr>
          <w:p>
            <w:pPr>
              <w:spacing w:before="118" w:line="206" w:lineRule="auto"/>
              <w:ind w:left="1622"/>
              <w:rPr>
                <w:rFonts w:ascii="方正书宋_GBK" w:eastAsia="方正书宋_GBK" w:cs="SimSun" w:hint="eastAsia"/>
                <w:sz w:val="18"/>
                <w:szCs w:val="18"/>
              </w:rPr>
            </w:pPr>
            <w:r>
              <w:rPr>
                <w:rFonts w:ascii="方正书宋_GBK" w:eastAsia="方正书宋_GBK" w:cs="SimSun" w:hint="eastAsia"/>
                <w:spacing w:val="-2"/>
                <w:sz w:val="18"/>
                <w:szCs w:val="18"/>
              </w:rPr>
              <w:t>残值率</w:t>
            </w:r>
          </w:p>
        </w:tc>
        <w:tc>
          <w:tcPr>
            <w:tcW w:w="2683" w:type="dxa"/>
          </w:tcPr>
          <w:p>
            <w:pPr>
              <w:pStyle w:val="136"/>
              <w:rPr>
                <w:rFonts w:ascii="方正书宋_GBK" w:eastAsia="方正书宋_GBK" w:hint="eastAsia"/>
              </w:rPr>
            </w:pPr>
          </w:p>
        </w:tc>
        <w:tc>
          <w:tcPr>
            <w:tcW w:w="2459" w:type="dxa"/>
            <w:gridSpan w:val="2"/>
          </w:tcPr>
          <w:p>
            <w:pPr>
              <w:spacing w:before="118" w:line="206" w:lineRule="auto"/>
              <w:ind w:left="740"/>
              <w:rPr>
                <w:rFonts w:ascii="方正书宋_GBK" w:eastAsia="方正书宋_GBK" w:cs="SimSun" w:hint="eastAsia"/>
                <w:sz w:val="18"/>
                <w:szCs w:val="18"/>
              </w:rPr>
            </w:pPr>
            <w:r>
              <w:rPr>
                <w:rFonts w:ascii="方正书宋_GBK" w:eastAsia="方正书宋_GBK" w:cs="SimSun" w:hint="eastAsia"/>
                <w:spacing w:val="-5"/>
                <w:sz w:val="18"/>
                <w:szCs w:val="18"/>
              </w:rPr>
              <w:t>月折旧/摊销额（元）</w:t>
            </w:r>
          </w:p>
        </w:tc>
        <w:tc>
          <w:tcPr>
            <w:tcW w:w="2523" w:type="dxa"/>
          </w:tcPr>
          <w:p>
            <w:pPr>
              <w:pStyle w:val="136"/>
              <w:rPr>
                <w:rFonts w:ascii="方正书宋_GBK" w:eastAsia="方正书宋_GBK" w:hint="eastAsia"/>
              </w:rPr>
            </w:pPr>
          </w:p>
        </w:tc>
      </w:tr>
      <w:tr>
        <w:trPr>
          <w:trHeight w:val="369"/>
        </w:trPr>
        <w:tc>
          <w:tcPr>
            <w:tcW w:w="2208" w:type="dxa"/>
          </w:tcPr>
          <w:p>
            <w:pPr>
              <w:spacing w:before="92" w:line="206" w:lineRule="auto"/>
              <w:ind w:left="489"/>
              <w:rPr>
                <w:rFonts w:ascii="方正书宋_GBK" w:eastAsia="方正书宋_GBK" w:cs="SimSun" w:hint="eastAsia"/>
                <w:sz w:val="18"/>
                <w:szCs w:val="18"/>
              </w:rPr>
            </w:pPr>
            <w:r>
              <w:rPr>
                <w:rFonts w:ascii="方正书宋_GBK" w:eastAsia="方正书宋_GBK" w:cs="SimSun" w:hint="eastAsia"/>
                <w:spacing w:val="-5"/>
                <w:sz w:val="18"/>
                <w:szCs w:val="18"/>
              </w:rPr>
              <w:t>累计折旧/摊销（元）</w:t>
            </w:r>
          </w:p>
        </w:tc>
        <w:tc>
          <w:tcPr>
            <w:tcW w:w="2683" w:type="dxa"/>
          </w:tcPr>
          <w:p>
            <w:pPr>
              <w:pStyle w:val="136"/>
              <w:rPr>
                <w:rFonts w:ascii="方正书宋_GBK" w:eastAsia="方正书宋_GBK" w:hint="eastAsia"/>
              </w:rPr>
            </w:pPr>
          </w:p>
        </w:tc>
        <w:tc>
          <w:tcPr>
            <w:tcW w:w="2459" w:type="dxa"/>
            <w:gridSpan w:val="2"/>
          </w:tcPr>
          <w:p>
            <w:pPr>
              <w:spacing w:before="92" w:line="206" w:lineRule="auto"/>
              <w:ind w:left="935"/>
              <w:rPr>
                <w:rFonts w:ascii="方正书宋_GBK" w:eastAsia="方正书宋_GBK" w:cs="SimSun" w:hint="eastAsia"/>
                <w:sz w:val="18"/>
                <w:szCs w:val="18"/>
              </w:rPr>
            </w:pPr>
            <w:r>
              <w:rPr>
                <w:rFonts w:ascii="方正书宋_GBK" w:eastAsia="方正书宋_GBK" w:cs="SimSun" w:hint="eastAsia"/>
                <w:spacing w:val="-6"/>
                <w:sz w:val="18"/>
                <w:szCs w:val="18"/>
              </w:rPr>
              <w:t>已提折旧/摊销月数</w:t>
            </w:r>
          </w:p>
        </w:tc>
        <w:tc>
          <w:tcPr>
            <w:tcW w:w="2523" w:type="dxa"/>
          </w:tcPr>
          <w:p>
            <w:pPr>
              <w:pStyle w:val="136"/>
              <w:rPr>
                <w:rFonts w:ascii="方正书宋_GBK" w:eastAsia="方正书宋_GBK" w:hint="eastAsia"/>
              </w:rPr>
            </w:pPr>
          </w:p>
        </w:tc>
      </w:tr>
      <w:tr>
        <w:trPr>
          <w:trHeight w:val="365"/>
        </w:trPr>
        <w:tc>
          <w:tcPr>
            <w:tcW w:w="2208" w:type="dxa"/>
          </w:tcPr>
          <w:p>
            <w:pPr>
              <w:spacing w:before="119" w:line="209" w:lineRule="auto"/>
              <w:ind w:left="1262"/>
              <w:rPr>
                <w:rFonts w:ascii="方正书宋_GBK" w:eastAsia="方正书宋_GBK" w:cs="SimSun" w:hint="eastAsia"/>
                <w:sz w:val="18"/>
                <w:szCs w:val="18"/>
              </w:rPr>
            </w:pPr>
            <w:r>
              <w:rPr>
                <w:rFonts w:ascii="方正书宋_GBK" w:eastAsia="方正书宋_GBK" w:cs="SimSun" w:hint="eastAsia"/>
                <w:spacing w:val="-2"/>
                <w:sz w:val="18"/>
                <w:szCs w:val="18"/>
              </w:rPr>
              <w:t>财务负责人</w:t>
            </w:r>
          </w:p>
        </w:tc>
        <w:tc>
          <w:tcPr>
            <w:tcW w:w="2683" w:type="dxa"/>
          </w:tcPr>
          <w:p>
            <w:pPr>
              <w:pStyle w:val="136"/>
              <w:rPr>
                <w:rFonts w:ascii="方正书宋_GBK" w:eastAsia="方正书宋_GBK" w:hint="eastAsia"/>
              </w:rPr>
            </w:pPr>
          </w:p>
        </w:tc>
        <w:tc>
          <w:tcPr>
            <w:tcW w:w="2459" w:type="dxa"/>
            <w:gridSpan w:val="2"/>
          </w:tcPr>
          <w:p>
            <w:pPr>
              <w:spacing w:before="121" w:line="206" w:lineRule="auto"/>
              <w:ind w:left="1518"/>
              <w:rPr>
                <w:rFonts w:ascii="方正书宋_GBK" w:eastAsia="方正书宋_GBK" w:cs="SimSun" w:hint="eastAsia"/>
                <w:sz w:val="18"/>
                <w:szCs w:val="18"/>
              </w:rPr>
            </w:pPr>
            <w:r>
              <w:rPr>
                <w:rFonts w:ascii="方正书宋_GBK" w:eastAsia="方正书宋_GBK" w:cs="SimSun" w:hint="eastAsia"/>
                <w:spacing w:val="-4"/>
                <w:sz w:val="18"/>
                <w:szCs w:val="18"/>
              </w:rPr>
              <w:t>净值（元）</w:t>
            </w:r>
          </w:p>
        </w:tc>
        <w:tc>
          <w:tcPr>
            <w:tcW w:w="2523" w:type="dxa"/>
          </w:tcPr>
          <w:p>
            <w:pPr>
              <w:pStyle w:val="136"/>
              <w:rPr>
                <w:rFonts w:ascii="方正书宋_GBK" w:eastAsia="方正书宋_GBK" w:hint="eastAsia"/>
              </w:rPr>
            </w:pPr>
          </w:p>
        </w:tc>
      </w:tr>
      <w:tr>
        <w:trPr>
          <w:trHeight w:val="350"/>
        </w:trPr>
        <w:tc>
          <w:tcPr>
            <w:tcW w:w="2208" w:type="dxa"/>
          </w:tcPr>
          <w:p>
            <w:pPr>
              <w:spacing w:before="115" w:line="204" w:lineRule="auto"/>
              <w:ind w:left="1441"/>
              <w:rPr>
                <w:rFonts w:ascii="方正书宋_GBK" w:eastAsia="方正书宋_GBK" w:cs="SimSun" w:hint="eastAsia"/>
                <w:sz w:val="18"/>
                <w:szCs w:val="18"/>
              </w:rPr>
            </w:pPr>
            <w:r>
              <w:rPr>
                <w:rFonts w:ascii="方正书宋_GBK" w:eastAsia="方正书宋_GBK" w:cs="SimSun" w:hint="eastAsia"/>
                <w:spacing w:val="-2"/>
                <w:sz w:val="18"/>
                <w:szCs w:val="18"/>
              </w:rPr>
              <w:t>记账日期</w:t>
            </w: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10"/>
        </w:trPr>
        <w:tc>
          <w:tcPr>
            <w:tcW w:w="2208" w:type="dxa"/>
          </w:tcPr>
          <w:p>
            <w:pPr>
              <w:pStyle w:val="136"/>
              <w:rPr>
                <w:rFonts w:ascii="方正书宋_GBK" w:eastAsia="方正书宋_GBK" w:hint="eastAsia"/>
              </w:rPr>
            </w:pP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10"/>
        </w:trPr>
        <w:tc>
          <w:tcPr>
            <w:tcW w:w="9873" w:type="dxa"/>
            <w:gridSpan w:val="5"/>
          </w:tcPr>
          <w:p>
            <w:pPr>
              <w:spacing w:before="40" w:line="199" w:lineRule="auto"/>
              <w:ind w:left="170"/>
              <w:rPr>
                <w:rFonts w:ascii="方正书宋_GBK" w:eastAsia="方正书宋_GBK" w:cs="SimSun" w:hint="eastAsia"/>
                <w:sz w:val="24"/>
                <w:szCs w:val="24"/>
              </w:rPr>
            </w:pPr>
            <w:r>
              <w:rPr>
                <w:rFonts w:ascii="方正书宋_GBK" w:eastAsia="方正书宋_GBK" w:cs="SimSun" w:hint="eastAsia"/>
                <w:spacing w:val="-2"/>
                <w:sz w:val="24"/>
                <w:szCs w:val="24"/>
              </w:rPr>
              <w:t>使用信息</w:t>
            </w:r>
          </w:p>
        </w:tc>
      </w:tr>
      <w:tr>
        <w:trPr>
          <w:trHeight w:val="310"/>
        </w:trPr>
        <w:tc>
          <w:tcPr>
            <w:tcW w:w="2208" w:type="dxa"/>
          </w:tcPr>
          <w:p>
            <w:pPr>
              <w:spacing w:before="73" w:line="206" w:lineRule="auto"/>
              <w:ind w:left="1450"/>
              <w:rPr>
                <w:rFonts w:ascii="方正书宋_GBK" w:eastAsia="方正书宋_GBK" w:cs="SimSun" w:hint="eastAsia"/>
                <w:sz w:val="18"/>
                <w:szCs w:val="18"/>
              </w:rPr>
            </w:pPr>
            <w:r>
              <w:rPr>
                <w:rFonts w:ascii="方正书宋_GBK" w:eastAsia="方正书宋_GBK" w:cs="SimSun" w:hint="eastAsia"/>
                <w:spacing w:val="-3"/>
                <w:sz w:val="18"/>
                <w:szCs w:val="18"/>
              </w:rPr>
              <w:t>资产状态</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1336"/>
              <w:rPr>
                <w:rFonts w:ascii="方正书宋_GBK" w:eastAsia="方正书宋_GBK" w:cs="SimSun" w:hint="eastAsia"/>
                <w:sz w:val="18"/>
                <w:szCs w:val="18"/>
              </w:rPr>
            </w:pPr>
            <w:r>
              <w:rPr>
                <w:rFonts w:ascii="方正书宋_GBK" w:eastAsia="方正书宋_GBK" w:cs="SimSun" w:hint="eastAsia"/>
                <w:spacing w:val="-2"/>
                <w:sz w:val="18"/>
                <w:szCs w:val="18"/>
              </w:rPr>
              <w:t>使用责任主体</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1446"/>
              <w:rPr>
                <w:rFonts w:ascii="方正书宋_GBK" w:eastAsia="方正书宋_GBK" w:cs="SimSun" w:hint="eastAsia"/>
                <w:sz w:val="18"/>
                <w:szCs w:val="18"/>
              </w:rPr>
            </w:pPr>
            <w:r>
              <w:rPr>
                <w:rFonts w:ascii="方正书宋_GBK" w:eastAsia="方正书宋_GBK" w:cs="SimSun" w:hint="eastAsia"/>
                <w:spacing w:val="-3"/>
                <w:sz w:val="18"/>
                <w:szCs w:val="18"/>
              </w:rPr>
              <w:t>管理部门</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880"/>
              <w:rPr>
                <w:rFonts w:ascii="方正书宋_GBK" w:eastAsia="方正书宋_GBK" w:cs="SimSun" w:hint="eastAsia"/>
                <w:sz w:val="18"/>
                <w:szCs w:val="18"/>
              </w:rPr>
            </w:pPr>
            <w:r>
              <w:rPr>
                <w:rFonts w:ascii="方正书宋_GBK" w:eastAsia="方正书宋_GBK" w:cs="SimSun" w:hint="eastAsia"/>
                <w:spacing w:val="-3"/>
                <w:sz w:val="18"/>
                <w:szCs w:val="18"/>
              </w:rPr>
              <w:t>管理人</w:t>
            </w:r>
          </w:p>
        </w:tc>
        <w:tc>
          <w:tcPr>
            <w:tcW w:w="2523" w:type="dxa"/>
          </w:tcPr>
          <w:p>
            <w:pPr>
              <w:pStyle w:val="136"/>
              <w:rPr>
                <w:rFonts w:ascii="方正书宋_GBK" w:eastAsia="方正书宋_GBK" w:hint="eastAsia"/>
              </w:rPr>
            </w:pPr>
          </w:p>
        </w:tc>
      </w:tr>
      <w:tr>
        <w:trPr>
          <w:trHeight w:val="310"/>
        </w:trPr>
        <w:tc>
          <w:tcPr>
            <w:tcW w:w="2208" w:type="dxa"/>
          </w:tcPr>
          <w:p>
            <w:pPr>
              <w:spacing w:before="73" w:line="206" w:lineRule="auto"/>
              <w:ind w:left="1442"/>
              <w:rPr>
                <w:rFonts w:ascii="方正书宋_GBK" w:eastAsia="方正书宋_GBK" w:cs="SimSun" w:hint="eastAsia"/>
                <w:sz w:val="18"/>
                <w:szCs w:val="18"/>
              </w:rPr>
            </w:pPr>
            <w:r>
              <w:rPr>
                <w:rFonts w:ascii="方正书宋_GBK" w:eastAsia="方正书宋_GBK" w:cs="SimSun" w:hint="eastAsia"/>
                <w:spacing w:val="-2"/>
                <w:sz w:val="18"/>
                <w:szCs w:val="18"/>
              </w:rPr>
              <w:t>使用部门</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1876"/>
              <w:rPr>
                <w:rFonts w:ascii="方正书宋_GBK" w:eastAsia="方正书宋_GBK" w:cs="SimSun" w:hint="eastAsia"/>
                <w:sz w:val="18"/>
                <w:szCs w:val="18"/>
              </w:rPr>
            </w:pPr>
            <w:r>
              <w:rPr>
                <w:rFonts w:ascii="方正书宋_GBK" w:eastAsia="方正书宋_GBK" w:cs="SimSun" w:hint="eastAsia"/>
                <w:spacing w:val="-2"/>
                <w:sz w:val="18"/>
                <w:szCs w:val="18"/>
              </w:rPr>
              <w:t>使用人</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1082"/>
              <w:rPr>
                <w:rFonts w:ascii="方正书宋_GBK" w:eastAsia="方正书宋_GBK" w:cs="SimSun" w:hint="eastAsia"/>
                <w:sz w:val="18"/>
                <w:szCs w:val="18"/>
              </w:rPr>
            </w:pPr>
            <w:r>
              <w:rPr>
                <w:rFonts w:ascii="方正书宋_GBK" w:eastAsia="方正书宋_GBK" w:cs="SimSun" w:hint="eastAsia"/>
                <w:spacing w:val="-2"/>
                <w:sz w:val="18"/>
                <w:szCs w:val="18"/>
              </w:rPr>
              <w:t>保管收藏单位</w:t>
            </w:r>
          </w:p>
        </w:tc>
        <w:tc>
          <w:tcPr>
            <w:tcW w:w="2683" w:type="dxa"/>
          </w:tcPr>
          <w:p>
            <w:pPr>
              <w:pStyle w:val="136"/>
              <w:rPr>
                <w:rFonts w:ascii="方正书宋_GBK" w:eastAsia="方正书宋_GBK" w:hint="eastAsia"/>
              </w:rPr>
            </w:pPr>
          </w:p>
        </w:tc>
        <w:tc>
          <w:tcPr>
            <w:tcW w:w="2459" w:type="dxa"/>
            <w:gridSpan w:val="2"/>
          </w:tcPr>
          <w:p>
            <w:pPr>
              <w:spacing w:before="80" w:line="206" w:lineRule="auto"/>
              <w:ind w:left="1695"/>
              <w:rPr>
                <w:rFonts w:ascii="方正书宋_GBK" w:eastAsia="方正书宋_GBK" w:cs="SimSun" w:hint="eastAsia"/>
                <w:sz w:val="18"/>
                <w:szCs w:val="18"/>
              </w:rPr>
            </w:pPr>
            <w:r>
              <w:rPr>
                <w:rFonts w:ascii="方正书宋_GBK" w:eastAsia="方正书宋_GBK" w:cs="SimSun" w:hint="eastAsia"/>
                <w:spacing w:val="-2"/>
                <w:sz w:val="18"/>
                <w:szCs w:val="18"/>
              </w:rPr>
              <w:t>存放地点</w:t>
            </w:r>
          </w:p>
        </w:tc>
        <w:tc>
          <w:tcPr>
            <w:tcW w:w="2523" w:type="dxa"/>
          </w:tcPr>
          <w:p>
            <w:pPr>
              <w:pStyle w:val="136"/>
              <w:rPr>
                <w:rFonts w:ascii="方正书宋_GBK" w:eastAsia="方正书宋_GBK" w:hint="eastAsia"/>
              </w:rPr>
            </w:pPr>
          </w:p>
        </w:tc>
      </w:tr>
      <w:tr>
        <w:trPr>
          <w:trHeight w:val="325"/>
        </w:trPr>
        <w:tc>
          <w:tcPr>
            <w:tcW w:w="2208" w:type="dxa"/>
          </w:tcPr>
          <w:p>
            <w:pPr>
              <w:spacing w:before="80" w:line="206" w:lineRule="auto"/>
              <w:ind w:left="1085"/>
              <w:rPr>
                <w:rFonts w:ascii="方正书宋_GBK" w:eastAsia="方正书宋_GBK" w:cs="SimSun" w:hint="eastAsia"/>
                <w:sz w:val="18"/>
                <w:szCs w:val="18"/>
              </w:rPr>
            </w:pPr>
            <w:r>
              <w:rPr>
                <w:rFonts w:ascii="方正书宋_GBK" w:eastAsia="方正书宋_GBK" w:cs="SimSun" w:hint="eastAsia"/>
                <w:spacing w:val="-2"/>
                <w:sz w:val="18"/>
                <w:szCs w:val="18"/>
              </w:rPr>
              <w:t>是否共享共用</w:t>
            </w:r>
          </w:p>
        </w:tc>
        <w:tc>
          <w:tcPr>
            <w:tcW w:w="2683" w:type="dxa"/>
          </w:tcPr>
          <w:p>
            <w:pPr>
              <w:pStyle w:val="136"/>
              <w:rPr>
                <w:rFonts w:ascii="方正书宋_GBK" w:eastAsia="方正书宋_GBK" w:hint="eastAsia"/>
              </w:rPr>
            </w:pPr>
          </w:p>
        </w:tc>
        <w:tc>
          <w:tcPr>
            <w:tcW w:w="2459" w:type="dxa"/>
            <w:gridSpan w:val="2"/>
          </w:tcPr>
          <w:p>
            <w:pPr>
              <w:spacing w:before="80" w:line="206" w:lineRule="auto"/>
              <w:ind w:left="2058"/>
              <w:rPr>
                <w:rFonts w:ascii="方正书宋_GBK" w:eastAsia="方正书宋_GBK" w:cs="SimSun" w:hint="eastAsia"/>
                <w:sz w:val="18"/>
                <w:szCs w:val="18"/>
              </w:rPr>
            </w:pPr>
            <w:r>
              <w:rPr>
                <w:rFonts w:ascii="方正书宋_GBK" w:eastAsia="方正书宋_GBK" w:cs="SimSun" w:hint="eastAsia"/>
                <w:spacing w:val="-3"/>
                <w:sz w:val="18"/>
                <w:szCs w:val="18"/>
              </w:rPr>
              <w:t>备注</w:t>
            </w:r>
          </w:p>
        </w:tc>
        <w:tc>
          <w:tcPr>
            <w:tcW w:w="2523" w:type="dxa"/>
          </w:tcPr>
          <w:p>
            <w:pPr>
              <w:pStyle w:val="136"/>
              <w:rPr>
                <w:rFonts w:ascii="方正书宋_GBK" w:eastAsia="方正书宋_GBK" w:hint="eastAsia"/>
              </w:rPr>
            </w:pPr>
          </w:p>
        </w:tc>
      </w:tr>
      <w:tr>
        <w:trPr>
          <w:trHeight w:val="310"/>
        </w:trPr>
        <w:tc>
          <w:tcPr>
            <w:tcW w:w="9873" w:type="dxa"/>
            <w:gridSpan w:val="5"/>
          </w:tcPr>
          <w:p>
            <w:pPr>
              <w:spacing w:before="40" w:line="199" w:lineRule="auto"/>
              <w:ind w:left="169"/>
              <w:rPr>
                <w:rFonts w:ascii="方正书宋_GBK" w:eastAsia="方正书宋_GBK" w:cs="SimSun" w:hint="eastAsia"/>
                <w:sz w:val="24"/>
                <w:szCs w:val="24"/>
              </w:rPr>
            </w:pPr>
            <w:r>
              <w:rPr>
                <w:rFonts w:ascii="方正书宋_GBK" w:eastAsia="方正书宋_GBK" w:cs="SimSun" w:hint="eastAsia"/>
                <w:spacing w:val="-2"/>
                <w:sz w:val="24"/>
                <w:szCs w:val="24"/>
              </w:rPr>
              <w:t>特性信息</w:t>
            </w:r>
          </w:p>
        </w:tc>
      </w:tr>
      <w:tr>
        <w:trPr>
          <w:trHeight w:val="325"/>
        </w:trPr>
        <w:tc>
          <w:tcPr>
            <w:tcW w:w="2208" w:type="dxa"/>
          </w:tcPr>
          <w:p>
            <w:pPr>
              <w:spacing w:before="81" w:line="206" w:lineRule="auto"/>
              <w:ind w:left="1263"/>
              <w:rPr>
                <w:rFonts w:ascii="方正书宋_GBK" w:eastAsia="方正书宋_GBK" w:cs="SimSun" w:hint="eastAsia"/>
                <w:sz w:val="18"/>
                <w:szCs w:val="18"/>
              </w:rPr>
            </w:pPr>
            <w:r>
              <w:rPr>
                <w:rFonts w:ascii="方正书宋_GBK" w:eastAsia="方正书宋_GBK" w:cs="SimSun" w:hint="eastAsia"/>
                <w:spacing w:val="-2"/>
                <w:sz w:val="18"/>
                <w:szCs w:val="18"/>
              </w:rPr>
              <w:t>文物登记号</w:t>
            </w:r>
          </w:p>
        </w:tc>
        <w:tc>
          <w:tcPr>
            <w:tcW w:w="2683" w:type="dxa"/>
          </w:tcPr>
          <w:p>
            <w:pPr>
              <w:pStyle w:val="136"/>
              <w:rPr>
                <w:rFonts w:ascii="方正书宋_GBK" w:eastAsia="方正书宋_GBK" w:hint="eastAsia"/>
              </w:rPr>
            </w:pPr>
          </w:p>
        </w:tc>
        <w:tc>
          <w:tcPr>
            <w:tcW w:w="2459" w:type="dxa"/>
            <w:gridSpan w:val="2"/>
          </w:tcPr>
          <w:p>
            <w:pPr>
              <w:spacing w:before="67" w:line="241" w:lineRule="exact"/>
              <w:ind w:left="1519"/>
              <w:rPr>
                <w:rFonts w:ascii="方正书宋_GBK" w:eastAsia="方正书宋_GBK" w:cs="SimSun" w:hint="eastAsia"/>
                <w:sz w:val="18"/>
                <w:szCs w:val="18"/>
              </w:rPr>
            </w:pPr>
            <w:r>
              <w:rPr>
                <w:rFonts w:ascii="方正书宋_GBK" w:eastAsia="方正书宋_GBK" w:cs="SimSun" w:hint="eastAsia"/>
                <w:spacing w:val="-2"/>
                <w:position w:val="1"/>
                <w:sz w:val="18"/>
                <w:szCs w:val="18"/>
              </w:rPr>
              <w:t>是否可计价</w:t>
            </w:r>
          </w:p>
        </w:tc>
        <w:tc>
          <w:tcPr>
            <w:tcW w:w="2523" w:type="dxa"/>
          </w:tcPr>
          <w:p>
            <w:pPr>
              <w:pStyle w:val="136"/>
              <w:rPr>
                <w:rFonts w:ascii="方正书宋_GBK" w:eastAsia="方正书宋_GBK" w:hint="eastAsia"/>
              </w:rPr>
            </w:pPr>
          </w:p>
        </w:tc>
      </w:tr>
      <w:tr>
        <w:trPr>
          <w:trHeight w:val="310"/>
        </w:trPr>
        <w:tc>
          <w:tcPr>
            <w:tcW w:w="2208" w:type="dxa"/>
          </w:tcPr>
          <w:p>
            <w:pPr>
              <w:spacing w:before="73" w:line="206" w:lineRule="auto"/>
              <w:ind w:left="723"/>
              <w:rPr>
                <w:rFonts w:ascii="方正书宋_GBK" w:eastAsia="方正书宋_GBK" w:cs="SimSun" w:hint="eastAsia"/>
                <w:sz w:val="18"/>
                <w:szCs w:val="18"/>
              </w:rPr>
            </w:pPr>
            <w:r>
              <w:rPr>
                <w:rFonts w:ascii="方正书宋_GBK" w:eastAsia="方正书宋_GBK" w:cs="SimSun" w:hint="eastAsia"/>
                <w:spacing w:val="-1"/>
                <w:sz w:val="18"/>
                <w:szCs w:val="18"/>
              </w:rPr>
              <w:t>文物资产使用状态</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921"/>
              <w:rPr>
                <w:rFonts w:ascii="方正书宋_GBK" w:eastAsia="方正书宋_GBK" w:cs="SimSun" w:hint="eastAsia"/>
                <w:sz w:val="18"/>
                <w:szCs w:val="18"/>
              </w:rPr>
            </w:pPr>
            <w:r>
              <w:rPr>
                <w:rFonts w:ascii="方正书宋_GBK" w:eastAsia="方正书宋_GBK" w:cs="SimSun" w:hint="eastAsia"/>
                <w:spacing w:val="-5"/>
                <w:sz w:val="18"/>
                <w:szCs w:val="18"/>
              </w:rPr>
              <w:t>公布日期/入藏日期</w:t>
            </w:r>
          </w:p>
        </w:tc>
        <w:tc>
          <w:tcPr>
            <w:tcW w:w="2523" w:type="dxa"/>
          </w:tcPr>
          <w:p>
            <w:pPr>
              <w:pStyle w:val="136"/>
              <w:rPr>
                <w:rFonts w:ascii="方正书宋_GBK" w:eastAsia="方正书宋_GBK" w:hint="eastAsia"/>
              </w:rPr>
            </w:pPr>
          </w:p>
        </w:tc>
      </w:tr>
      <w:tr>
        <w:trPr>
          <w:trHeight w:val="325"/>
        </w:trPr>
        <w:tc>
          <w:tcPr>
            <w:tcW w:w="2208" w:type="dxa"/>
          </w:tcPr>
          <w:p>
            <w:pPr>
              <w:spacing w:before="80" w:line="206" w:lineRule="auto"/>
              <w:ind w:left="592"/>
              <w:rPr>
                <w:rFonts w:ascii="方正书宋_GBK" w:eastAsia="方正书宋_GBK" w:cs="SimSun" w:hint="eastAsia"/>
                <w:sz w:val="18"/>
                <w:szCs w:val="18"/>
              </w:rPr>
            </w:pPr>
            <w:r>
              <w:rPr>
                <w:rFonts w:ascii="方正书宋_GBK" w:eastAsia="方正书宋_GBK" w:cs="SimSun" w:hint="eastAsia"/>
                <w:spacing w:val="-6"/>
                <w:sz w:val="18"/>
                <w:szCs w:val="18"/>
              </w:rPr>
              <w:t>总建筑面积(平方米)</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517"/>
              <w:rPr>
                <w:rFonts w:ascii="方正书宋_GBK" w:eastAsia="方正书宋_GBK" w:cs="SimSun" w:hint="eastAsia"/>
                <w:sz w:val="18"/>
                <w:szCs w:val="18"/>
              </w:rPr>
            </w:pPr>
            <w:r>
              <w:rPr>
                <w:rFonts w:ascii="方正书宋_GBK" w:eastAsia="方正书宋_GBK" w:cs="SimSun" w:hint="eastAsia"/>
                <w:spacing w:val="-2"/>
                <w:sz w:val="18"/>
                <w:szCs w:val="18"/>
              </w:rPr>
              <w:t>文物完整度</w:t>
            </w:r>
          </w:p>
        </w:tc>
        <w:tc>
          <w:tcPr>
            <w:tcW w:w="2523" w:type="dxa"/>
          </w:tcPr>
          <w:p>
            <w:pPr>
              <w:pStyle w:val="136"/>
              <w:rPr>
                <w:rFonts w:ascii="方正书宋_GBK" w:eastAsia="方正书宋_GBK" w:hint="eastAsia"/>
              </w:rPr>
            </w:pPr>
          </w:p>
        </w:tc>
      </w:tr>
      <w:tr>
        <w:trPr>
          <w:trHeight w:val="295"/>
        </w:trPr>
        <w:tc>
          <w:tcPr>
            <w:tcW w:w="2208" w:type="dxa"/>
          </w:tcPr>
          <w:p>
            <w:pPr>
              <w:spacing w:before="64" w:line="209" w:lineRule="auto"/>
              <w:ind w:left="1443"/>
              <w:rPr>
                <w:rFonts w:ascii="方正书宋_GBK" w:eastAsia="方正书宋_GBK" w:cs="SimSun" w:hint="eastAsia"/>
                <w:sz w:val="18"/>
                <w:szCs w:val="18"/>
              </w:rPr>
            </w:pPr>
            <w:r>
              <w:rPr>
                <w:rFonts w:ascii="方正书宋_GBK" w:eastAsia="方正书宋_GBK" w:cs="SimSun" w:hint="eastAsia"/>
                <w:spacing w:val="-2"/>
                <w:sz w:val="18"/>
                <w:szCs w:val="18"/>
              </w:rPr>
              <w:t>文物年代</w:t>
            </w:r>
          </w:p>
        </w:tc>
        <w:tc>
          <w:tcPr>
            <w:tcW w:w="2683" w:type="dxa"/>
          </w:tcPr>
          <w:p>
            <w:pPr>
              <w:pStyle w:val="136"/>
              <w:rPr>
                <w:rFonts w:ascii="方正书宋_GBK" w:eastAsia="方正书宋_GBK" w:hint="eastAsia"/>
              </w:rPr>
            </w:pPr>
          </w:p>
        </w:tc>
        <w:tc>
          <w:tcPr>
            <w:tcW w:w="2459" w:type="dxa"/>
            <w:gridSpan w:val="2"/>
          </w:tcPr>
          <w:p>
            <w:pPr>
              <w:spacing w:before="80" w:line="206" w:lineRule="auto"/>
              <w:ind w:left="1347"/>
              <w:rPr>
                <w:rFonts w:ascii="方正书宋_GBK" w:eastAsia="方正书宋_GBK" w:cs="SimSun" w:hint="eastAsia"/>
                <w:sz w:val="18"/>
                <w:szCs w:val="18"/>
              </w:rPr>
            </w:pPr>
            <w:r>
              <w:rPr>
                <w:rFonts w:ascii="方正书宋_GBK" w:eastAsia="方正书宋_GBK" w:cs="SimSun" w:hint="eastAsia"/>
                <w:spacing w:val="-2"/>
                <w:sz w:val="18"/>
                <w:szCs w:val="18"/>
              </w:rPr>
              <w:t>是否馆藏文物</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1443"/>
              <w:rPr>
                <w:rFonts w:ascii="方正书宋_GBK" w:eastAsia="方正书宋_GBK" w:cs="SimSun" w:hint="eastAsia"/>
                <w:sz w:val="18"/>
                <w:szCs w:val="18"/>
              </w:rPr>
            </w:pPr>
            <w:r>
              <w:rPr>
                <w:rFonts w:ascii="方正书宋_GBK" w:eastAsia="方正书宋_GBK" w:cs="SimSun" w:hint="eastAsia"/>
                <w:spacing w:val="-2"/>
                <w:sz w:val="18"/>
                <w:szCs w:val="18"/>
              </w:rPr>
              <w:t>文物简介</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697"/>
              <w:rPr>
                <w:rFonts w:ascii="方正书宋_GBK" w:eastAsia="方正书宋_GBK" w:cs="SimSun" w:hint="eastAsia"/>
                <w:sz w:val="18"/>
                <w:szCs w:val="18"/>
              </w:rPr>
            </w:pPr>
            <w:r>
              <w:rPr>
                <w:rFonts w:ascii="方正书宋_GBK" w:eastAsia="方正书宋_GBK" w:cs="SimSun" w:hint="eastAsia"/>
                <w:spacing w:val="-2"/>
                <w:sz w:val="18"/>
                <w:szCs w:val="18"/>
              </w:rPr>
              <w:t>文物来源</w:t>
            </w:r>
          </w:p>
        </w:tc>
        <w:tc>
          <w:tcPr>
            <w:tcW w:w="2523" w:type="dxa"/>
          </w:tcPr>
          <w:p>
            <w:pPr>
              <w:pStyle w:val="136"/>
              <w:rPr>
                <w:rFonts w:ascii="方正书宋_GBK" w:eastAsia="方正书宋_GBK" w:hint="eastAsia"/>
              </w:rPr>
            </w:pPr>
          </w:p>
        </w:tc>
      </w:tr>
      <w:tr>
        <w:trPr>
          <w:trHeight w:val="325"/>
        </w:trPr>
        <w:tc>
          <w:tcPr>
            <w:tcW w:w="2208" w:type="dxa"/>
          </w:tcPr>
          <w:p>
            <w:pPr>
              <w:spacing w:before="79" w:line="209" w:lineRule="auto"/>
              <w:ind w:left="842"/>
              <w:rPr>
                <w:rFonts w:ascii="方正书宋_GBK" w:eastAsia="方正书宋_GBK" w:cs="SimSun" w:hint="eastAsia"/>
                <w:sz w:val="18"/>
                <w:szCs w:val="18"/>
              </w:rPr>
            </w:pPr>
            <w:r>
              <w:rPr>
                <w:rFonts w:ascii="方正书宋_GBK" w:eastAsia="方正书宋_GBK" w:cs="SimSun" w:hint="eastAsia"/>
                <w:spacing w:val="-5"/>
                <w:sz w:val="18"/>
                <w:szCs w:val="18"/>
              </w:rPr>
              <w:t>来源地/具体地址</w:t>
            </w:r>
          </w:p>
        </w:tc>
        <w:tc>
          <w:tcPr>
            <w:tcW w:w="2683" w:type="dxa"/>
          </w:tcPr>
          <w:p>
            <w:pPr>
              <w:pStyle w:val="136"/>
              <w:rPr>
                <w:rFonts w:ascii="方正书宋_GBK" w:eastAsia="方正书宋_GBK" w:hint="eastAsia"/>
              </w:rPr>
            </w:pPr>
          </w:p>
        </w:tc>
        <w:tc>
          <w:tcPr>
            <w:tcW w:w="2459" w:type="dxa"/>
            <w:gridSpan w:val="2"/>
          </w:tcPr>
          <w:p>
            <w:pPr>
              <w:pStyle w:val="136"/>
              <w:rPr>
                <w:rFonts w:ascii="方正书宋_GBK" w:eastAsia="方正书宋_GBK" w:hint="eastAsia"/>
              </w:rPr>
            </w:pPr>
          </w:p>
        </w:tc>
        <w:tc>
          <w:tcPr>
            <w:tcW w:w="2523" w:type="dxa"/>
          </w:tcPr>
          <w:p>
            <w:pPr>
              <w:pStyle w:val="136"/>
              <w:rPr>
                <w:rFonts w:ascii="方正书宋_GBK" w:eastAsia="方正书宋_GBK" w:hint="eastAsia"/>
              </w:rPr>
            </w:pPr>
          </w:p>
        </w:tc>
      </w:tr>
      <w:tr>
        <w:trPr>
          <w:trHeight w:val="325"/>
        </w:trPr>
        <w:tc>
          <w:tcPr>
            <w:tcW w:w="9873" w:type="dxa"/>
            <w:gridSpan w:val="5"/>
          </w:tcPr>
          <w:p>
            <w:pPr>
              <w:spacing w:before="47" w:line="206" w:lineRule="auto"/>
              <w:ind w:left="174"/>
              <w:rPr>
                <w:rFonts w:ascii="方正书宋_GBK" w:eastAsia="方正书宋_GBK" w:cs="SimSun" w:hint="eastAsia"/>
                <w:sz w:val="24"/>
                <w:szCs w:val="24"/>
              </w:rPr>
            </w:pPr>
            <w:r>
              <w:rPr>
                <w:rFonts w:ascii="方正书宋_GBK" w:eastAsia="方正书宋_GBK" w:cs="SimSun" w:hint="eastAsia"/>
                <w:spacing w:val="-3"/>
                <w:sz w:val="24"/>
                <w:szCs w:val="24"/>
              </w:rPr>
              <w:t>处置信息</w:t>
            </w:r>
          </w:p>
        </w:tc>
      </w:tr>
      <w:tr>
        <w:trPr>
          <w:trHeight w:val="310"/>
        </w:trPr>
        <w:tc>
          <w:tcPr>
            <w:tcW w:w="2208" w:type="dxa"/>
          </w:tcPr>
          <w:p>
            <w:pPr>
              <w:spacing w:before="74" w:line="206" w:lineRule="auto"/>
              <w:ind w:left="1445"/>
              <w:rPr>
                <w:rFonts w:ascii="方正书宋_GBK" w:eastAsia="方正书宋_GBK" w:cs="SimSun" w:hint="eastAsia"/>
                <w:sz w:val="18"/>
                <w:szCs w:val="18"/>
              </w:rPr>
            </w:pPr>
            <w:r>
              <w:rPr>
                <w:rFonts w:ascii="方正书宋_GBK" w:eastAsia="方正书宋_GBK" w:cs="SimSun" w:hint="eastAsia"/>
                <w:spacing w:val="-2"/>
                <w:sz w:val="18"/>
                <w:szCs w:val="18"/>
              </w:rPr>
              <w:t>处置形式</w:t>
            </w:r>
          </w:p>
        </w:tc>
        <w:tc>
          <w:tcPr>
            <w:tcW w:w="2683" w:type="dxa"/>
          </w:tcPr>
          <w:p>
            <w:pPr>
              <w:pStyle w:val="136"/>
              <w:rPr>
                <w:rFonts w:ascii="方正书宋_GBK" w:eastAsia="方正书宋_GBK" w:hint="eastAsia"/>
              </w:rPr>
            </w:pPr>
          </w:p>
        </w:tc>
        <w:tc>
          <w:tcPr>
            <w:tcW w:w="2459" w:type="dxa"/>
            <w:gridSpan w:val="2"/>
          </w:tcPr>
          <w:p>
            <w:pPr>
              <w:spacing w:before="73" w:line="206" w:lineRule="auto"/>
              <w:ind w:left="1699"/>
              <w:rPr>
                <w:rFonts w:ascii="方正书宋_GBK" w:eastAsia="方正书宋_GBK" w:cs="SimSun" w:hint="eastAsia"/>
                <w:sz w:val="18"/>
                <w:szCs w:val="18"/>
              </w:rPr>
            </w:pPr>
            <w:r>
              <w:rPr>
                <w:rFonts w:ascii="方正书宋_GBK" w:eastAsia="方正书宋_GBK" w:cs="SimSun" w:hint="eastAsia"/>
                <w:spacing w:val="-2"/>
                <w:sz w:val="18"/>
                <w:szCs w:val="18"/>
              </w:rPr>
              <w:t>处置渠道</w:t>
            </w:r>
          </w:p>
        </w:tc>
        <w:tc>
          <w:tcPr>
            <w:tcW w:w="2523" w:type="dxa"/>
          </w:tcPr>
          <w:p>
            <w:pPr>
              <w:pStyle w:val="136"/>
              <w:rPr>
                <w:rFonts w:ascii="方正书宋_GBK" w:eastAsia="方正书宋_GBK" w:hint="eastAsia"/>
              </w:rPr>
            </w:pPr>
          </w:p>
        </w:tc>
      </w:tr>
      <w:tr>
        <w:trPr>
          <w:trHeight w:val="329"/>
        </w:trPr>
        <w:tc>
          <w:tcPr>
            <w:tcW w:w="2208" w:type="dxa"/>
          </w:tcPr>
          <w:p>
            <w:pPr>
              <w:spacing w:before="81" w:line="206" w:lineRule="auto"/>
              <w:ind w:left="1445"/>
              <w:rPr>
                <w:rFonts w:ascii="方正书宋_GBK" w:eastAsia="方正书宋_GBK" w:cs="SimSun" w:hint="eastAsia"/>
                <w:sz w:val="18"/>
                <w:szCs w:val="18"/>
              </w:rPr>
            </w:pPr>
            <w:r>
              <w:rPr>
                <w:rFonts w:ascii="方正书宋_GBK" w:eastAsia="方正书宋_GBK" w:cs="SimSun" w:hint="eastAsia"/>
                <w:spacing w:val="-2"/>
                <w:sz w:val="18"/>
                <w:szCs w:val="18"/>
              </w:rPr>
              <w:t>处置时间</w:t>
            </w:r>
          </w:p>
        </w:tc>
        <w:tc>
          <w:tcPr>
            <w:tcW w:w="2683" w:type="dxa"/>
          </w:tcPr>
          <w:p>
            <w:pPr>
              <w:pStyle w:val="136"/>
              <w:rPr>
                <w:rFonts w:ascii="方正书宋_GBK" w:eastAsia="方正书宋_GBK" w:hint="eastAsia"/>
              </w:rPr>
            </w:pPr>
          </w:p>
        </w:tc>
        <w:tc>
          <w:tcPr>
            <w:tcW w:w="2459" w:type="dxa"/>
            <w:gridSpan w:val="2"/>
          </w:tcPr>
          <w:p>
            <w:pPr>
              <w:spacing w:before="79" w:line="209" w:lineRule="auto"/>
              <w:ind w:left="1699"/>
              <w:rPr>
                <w:rFonts w:ascii="方正书宋_GBK" w:eastAsia="方正书宋_GBK" w:cs="SimSun" w:hint="eastAsia"/>
                <w:sz w:val="18"/>
                <w:szCs w:val="18"/>
              </w:rPr>
            </w:pPr>
            <w:r>
              <w:rPr>
                <w:rFonts w:ascii="方正书宋_GBK" w:eastAsia="方正书宋_GBK" w:cs="SimSun" w:hint="eastAsia"/>
                <w:spacing w:val="-2"/>
                <w:sz w:val="18"/>
                <w:szCs w:val="18"/>
              </w:rPr>
              <w:t>处置收益</w:t>
            </w:r>
          </w:p>
        </w:tc>
        <w:tc>
          <w:tcPr>
            <w:tcW w:w="2523" w:type="dxa"/>
          </w:tcPr>
          <w:p>
            <w:pPr>
              <w:pStyle w:val="136"/>
              <w:rPr>
                <w:rFonts w:ascii="方正书宋_GBK" w:eastAsia="方正书宋_GBK" w:hint="eastAsia"/>
              </w:rPr>
            </w:pPr>
          </w:p>
        </w:tc>
      </w:tr>
    </w:tbl>
    <w:p>
      <w:pPr>
        <w:rPr>
          <w:rFonts w:ascii="方正书宋_GBK" w:eastAsia="方正书宋_GBK" w:hint="eastAsia"/>
          <w:sz w:val="21"/>
        </w:rPr>
      </w:pPr>
    </w:p>
    <w:p>
      <w:pPr>
        <w:rPr>
          <w:rFonts w:ascii="方正书宋_GBK" w:eastAsia="方正书宋_GBK" w:cs="Arial" w:hint="eastAsia"/>
          <w:sz w:val="21"/>
          <w:szCs w:val="21"/>
        </w:rPr>
        <w:sectPr>
          <w:headerReference w:type="default" r:id="rId6"/>
          <w:pgSz w:w="11906" w:h="16838"/>
          <w:pgMar w:top="1" w:right="891" w:bottom="0" w:left="1135" w:header="0" w:footer="0" w:gutter="0"/>
          <w:docGrid w:linePitch="435" w:charSpace="0"/>
        </w:sectPr>
      </w:pPr>
    </w:p>
    <w:p>
      <w:pPr>
        <w:pStyle w:val="73"/>
        <w:spacing w:before="65" w:line="228" w:lineRule="auto"/>
        <w:rPr>
          <w:rFonts w:ascii="方正书宋_GBK" w:eastAsia="方正书宋_GBK" w:hint="eastAsia"/>
        </w:rPr>
      </w:pPr>
      <w:r>
        <w:rPr>
          <w:rFonts w:ascii="方正书宋_GBK" w:eastAsia="方正书宋_GBK" w:hint="eastAsia"/>
          <w:b/>
          <w:bCs/>
          <w:spacing w:val="3"/>
        </w:rPr>
        <w:t>填写说明：</w:t>
      </w:r>
    </w:p>
    <w:p>
      <w:pPr>
        <w:pStyle w:val="73"/>
        <w:spacing w:before="65" w:line="228" w:lineRule="auto"/>
        <w:ind w:left="434"/>
        <w:outlineLvl w:val="0"/>
        <w:rPr>
          <w:rFonts w:ascii="方正书宋_GBK" w:eastAsia="方正书宋_GBK" w:hint="eastAsia"/>
        </w:rPr>
      </w:pPr>
      <w:r>
        <w:rPr>
          <w:rFonts w:ascii="方正书宋_GBK" w:eastAsia="方正书宋_GBK" w:hint="eastAsia"/>
          <w:b/>
          <w:bCs/>
          <w:spacing w:val="4"/>
        </w:rPr>
        <w:t>1.入账会计科目是固定资产、文物文化资产。</w:t>
      </w:r>
    </w:p>
    <w:p>
      <w:pPr>
        <w:pStyle w:val="73"/>
        <w:spacing w:before="65" w:line="228" w:lineRule="auto"/>
        <w:ind w:left="421"/>
        <w:outlineLvl w:val="0"/>
        <w:rPr>
          <w:rFonts w:ascii="方正书宋_GBK" w:eastAsia="方正书宋_GBK" w:hint="eastAsia"/>
        </w:rPr>
      </w:pPr>
      <w:r>
        <w:rPr>
          <w:rFonts w:ascii="方正书宋_GBK" w:eastAsia="方正书宋_GBK" w:hint="eastAsia"/>
          <w:b/>
          <w:bCs/>
          <w:spacing w:val="5"/>
        </w:rPr>
        <w:t>2.分类代码是资产分类国标，按最末级填列。</w:t>
      </w:r>
    </w:p>
    <w:p>
      <w:pPr>
        <w:pStyle w:val="73"/>
        <w:spacing w:before="64" w:line="228" w:lineRule="auto"/>
        <w:ind w:left="422"/>
        <w:outlineLvl w:val="0"/>
        <w:rPr>
          <w:rFonts w:ascii="方正书宋_GBK" w:eastAsia="方正书宋_GBK" w:hint="eastAsia"/>
        </w:rPr>
      </w:pPr>
      <w:r>
        <w:rPr>
          <w:rFonts w:ascii="方正书宋_GBK" w:eastAsia="方正书宋_GBK" w:hint="eastAsia"/>
          <w:b/>
          <w:bCs/>
          <w:spacing w:val="6"/>
        </w:rPr>
        <w:t>3.计量单位分为件、件(套)等分情况选择</w:t>
      </w:r>
      <w:r>
        <w:rPr>
          <w:rFonts w:ascii="方正书宋_GBK" w:eastAsia="方正书宋_GBK" w:hint="eastAsia"/>
          <w:b/>
          <w:bCs/>
          <w:spacing w:val="5"/>
        </w:rPr>
        <w:t>填列。</w:t>
      </w:r>
    </w:p>
    <w:p>
      <w:pPr>
        <w:pStyle w:val="73"/>
        <w:spacing w:before="64" w:line="228" w:lineRule="auto"/>
        <w:ind w:left="417"/>
        <w:outlineLvl w:val="0"/>
        <w:rPr>
          <w:rFonts w:ascii="方正书宋_GBK" w:eastAsia="方正书宋_GBK" w:hint="eastAsia"/>
        </w:rPr>
      </w:pPr>
      <w:r>
        <w:rPr>
          <w:rFonts w:ascii="方正书宋_GBK" w:eastAsia="方正书宋_GBK" w:hint="eastAsia"/>
          <w:b/>
          <w:bCs/>
          <w:spacing w:val="7"/>
        </w:rPr>
        <w:t>4.文物级别按照一级文物、二级文物、三级文物、一般文物分情况选择填列。</w:t>
      </w:r>
    </w:p>
    <w:p>
      <w:pPr>
        <w:pStyle w:val="73"/>
        <w:spacing w:before="66" w:line="226" w:lineRule="auto"/>
        <w:ind w:left="422"/>
        <w:outlineLvl w:val="0"/>
        <w:rPr>
          <w:rFonts w:ascii="方正书宋_GBK" w:eastAsia="方正书宋_GBK" w:hint="eastAsia"/>
        </w:rPr>
      </w:pPr>
      <w:r>
        <w:rPr>
          <w:rFonts w:ascii="方正书宋_GBK" w:eastAsia="方正书宋_GBK" w:hint="eastAsia"/>
          <w:b/>
          <w:bCs/>
          <w:spacing w:val="5"/>
        </w:rPr>
        <w:t>5.价值类型为历史成本、公允价值分情况选择填列。</w:t>
      </w:r>
    </w:p>
    <w:p>
      <w:pPr>
        <w:pStyle w:val="73"/>
        <w:spacing w:before="67" w:line="226" w:lineRule="auto"/>
        <w:ind w:left="420"/>
        <w:outlineLvl w:val="0"/>
        <w:rPr>
          <w:rFonts w:ascii="方正书宋_GBK" w:eastAsia="方正书宋_GBK" w:hint="eastAsia"/>
        </w:rPr>
      </w:pPr>
      <w:r>
        <w:rPr>
          <w:rFonts w:ascii="方正书宋_GBK" w:eastAsia="方正书宋_GBK" w:hint="eastAsia"/>
          <w:b/>
          <w:bCs/>
          <w:spacing w:val="5"/>
        </w:rPr>
        <w:t>6.资产原值是该文物入账价值。</w:t>
      </w:r>
    </w:p>
    <w:p>
      <w:pPr>
        <w:pStyle w:val="73"/>
        <w:spacing w:before="67" w:line="228" w:lineRule="auto"/>
        <w:ind w:left="423"/>
        <w:outlineLvl w:val="0"/>
        <w:rPr>
          <w:rFonts w:ascii="方正书宋_GBK" w:eastAsia="方正书宋_GBK" w:hint="eastAsia"/>
        </w:rPr>
      </w:pPr>
      <w:r>
        <w:rPr>
          <w:rFonts w:ascii="方正书宋_GBK" w:eastAsia="方正书宋_GBK" w:hint="eastAsia"/>
          <w:b/>
          <w:bCs/>
          <w:spacing w:val="6"/>
        </w:rPr>
        <w:t>7.财政性资金、非财政性资金根据资金来源填写。</w:t>
      </w:r>
    </w:p>
    <w:p>
      <w:pPr>
        <w:pStyle w:val="73"/>
        <w:spacing w:before="65" w:line="228" w:lineRule="auto"/>
        <w:ind w:left="419"/>
        <w:outlineLvl w:val="0"/>
        <w:rPr>
          <w:rFonts w:ascii="方正书宋_GBK" w:eastAsia="方正书宋_GBK" w:hint="eastAsia"/>
        </w:rPr>
      </w:pPr>
      <w:r>
        <w:rPr>
          <w:rFonts w:ascii="方正书宋_GBK" w:eastAsia="方正书宋_GBK" w:hint="eastAsia"/>
          <w:b/>
          <w:bCs/>
        </w:rPr>
        <w:t>8.入账状态选择“已入财务账”、“已入备查账”或“</w:t>
      </w:r>
      <w:r>
        <w:rPr>
          <w:rFonts w:ascii="方正书宋_GBK" w:eastAsia="方正书宋_GBK" w:hint="eastAsia"/>
          <w:b/>
          <w:bCs/>
          <w:spacing w:val="-1"/>
        </w:rPr>
        <w:t>未入账”。</w:t>
      </w:r>
    </w:p>
    <w:p>
      <w:pPr>
        <w:pStyle w:val="73"/>
        <w:spacing w:before="65" w:line="228" w:lineRule="auto"/>
        <w:ind w:left="419"/>
        <w:outlineLvl w:val="0"/>
        <w:rPr>
          <w:rFonts w:ascii="方正书宋_GBK" w:eastAsia="方正书宋_GBK" w:hint="eastAsia"/>
        </w:rPr>
      </w:pPr>
      <w:r>
        <w:rPr>
          <w:rFonts w:ascii="方正书宋_GBK" w:eastAsia="方正书宋_GBK" w:hint="eastAsia"/>
          <w:b/>
          <w:bCs/>
          <w:spacing w:val="5"/>
        </w:rPr>
        <w:t>9.管理部门为管理文物所属单位的行政部门。</w:t>
      </w:r>
    </w:p>
    <w:p>
      <w:pPr>
        <w:pStyle w:val="73"/>
        <w:spacing w:before="65" w:line="228" w:lineRule="auto"/>
        <w:ind w:left="434"/>
        <w:outlineLvl w:val="0"/>
        <w:rPr>
          <w:rFonts w:ascii="方正书宋_GBK" w:eastAsia="方正书宋_GBK" w:hint="eastAsia"/>
        </w:rPr>
      </w:pPr>
      <w:r>
        <w:rPr>
          <w:rFonts w:ascii="方正书宋_GBK" w:eastAsia="方正书宋_GBK" w:hint="eastAsia"/>
          <w:b/>
          <w:bCs/>
          <w:spacing w:val="6"/>
        </w:rPr>
        <w:t>10.保管收藏单位为保管收藏文物资源资产的各级各类行政事业单位。</w:t>
      </w:r>
    </w:p>
    <w:p>
      <w:pPr>
        <w:pStyle w:val="73"/>
        <w:spacing w:before="64" w:line="228" w:lineRule="auto"/>
        <w:ind w:left="434"/>
        <w:outlineLvl w:val="0"/>
        <w:rPr>
          <w:rFonts w:ascii="方正书宋_GBK" w:eastAsia="方正书宋_GBK" w:hint="eastAsia"/>
        </w:rPr>
      </w:pPr>
      <w:r>
        <w:rPr>
          <w:rFonts w:ascii="方正书宋_GBK" w:eastAsia="方正书宋_GBK" w:hint="eastAsia"/>
          <w:b/>
          <w:bCs/>
          <w:spacing w:val="5"/>
        </w:rPr>
        <w:t>11.文物登记号是指文物在现管理收藏单位的登记号。</w:t>
      </w:r>
    </w:p>
    <w:p>
      <w:pPr>
        <w:pStyle w:val="73"/>
        <w:spacing w:before="67" w:line="226" w:lineRule="auto"/>
        <w:ind w:left="434"/>
        <w:outlineLvl w:val="0"/>
        <w:rPr>
          <w:rFonts w:ascii="方正书宋_GBK" w:eastAsia="方正书宋_GBK" w:hint="eastAsia"/>
        </w:rPr>
      </w:pPr>
      <w:r>
        <w:rPr>
          <w:rFonts w:ascii="方正书宋_GBK" w:eastAsia="方正书宋_GBK" w:hint="eastAsia"/>
          <w:b/>
          <w:bCs/>
          <w:spacing w:val="5"/>
        </w:rPr>
        <w:t>12.按照是否可计价选择“是”或“否”。</w:t>
      </w:r>
    </w:p>
    <w:p>
      <w:pPr>
        <w:pStyle w:val="73"/>
        <w:spacing w:before="66" w:line="228" w:lineRule="auto"/>
        <w:ind w:left="434"/>
        <w:outlineLvl w:val="0"/>
        <w:rPr>
          <w:rFonts w:ascii="方正书宋_GBK" w:eastAsia="方正书宋_GBK" w:hint="eastAsia"/>
        </w:rPr>
      </w:pPr>
      <w:r>
        <w:rPr>
          <w:rFonts w:ascii="方正书宋_GBK" w:eastAsia="方正书宋_GBK" w:hint="eastAsia"/>
          <w:b/>
          <w:bCs/>
          <w:spacing w:val="6"/>
        </w:rPr>
        <w:t>13.使用状态分为展览、借出、开放、未开放、</w:t>
      </w:r>
      <w:r>
        <w:rPr>
          <w:rFonts w:ascii="方正书宋_GBK" w:eastAsia="方正书宋_GBK" w:hint="eastAsia"/>
          <w:b/>
          <w:bCs/>
          <w:spacing w:val="5"/>
        </w:rPr>
        <w:t>修缮中等分情况选择填列。</w:t>
      </w:r>
    </w:p>
    <w:p>
      <w:pPr>
        <w:pStyle w:val="73"/>
        <w:spacing w:before="66" w:line="228" w:lineRule="auto"/>
        <w:ind w:left="434"/>
        <w:outlineLvl w:val="0"/>
        <w:rPr>
          <w:rFonts w:ascii="方正书宋_GBK" w:eastAsia="方正书宋_GBK" w:hint="eastAsia"/>
        </w:rPr>
      </w:pPr>
      <w:r>
        <w:rPr>
          <w:rFonts w:ascii="方正书宋_GBK" w:eastAsia="方正书宋_GBK" w:hint="eastAsia"/>
          <w:b/>
          <w:bCs/>
          <w:spacing w:val="6"/>
        </w:rPr>
        <w:t>14.公布日期/入藏日期是文物被现收藏单位登记入库的</w:t>
      </w:r>
      <w:r>
        <w:rPr>
          <w:rFonts w:ascii="方正书宋_GBK" w:eastAsia="方正书宋_GBK" w:hint="eastAsia"/>
          <w:b/>
          <w:bCs/>
          <w:spacing w:val="5"/>
        </w:rPr>
        <w:t>日期。</w:t>
      </w:r>
    </w:p>
    <w:p>
      <w:pPr>
        <w:pStyle w:val="73"/>
        <w:spacing w:before="66" w:line="228" w:lineRule="auto"/>
        <w:ind w:left="434"/>
        <w:outlineLvl w:val="0"/>
        <w:rPr>
          <w:rFonts w:ascii="方正书宋_GBK" w:eastAsia="方正书宋_GBK" w:hint="eastAsia"/>
        </w:rPr>
      </w:pPr>
      <w:r>
        <w:rPr>
          <w:rFonts w:ascii="方正书宋_GBK" w:eastAsia="方正书宋_GBK" w:hint="eastAsia"/>
          <w:b/>
          <w:bCs/>
          <w:spacing w:val="7"/>
        </w:rPr>
        <w:t>15.文物完整度分为完整、基本完整、残缺、严重残缺（含缺失部件</w:t>
      </w:r>
      <w:r>
        <w:rPr>
          <w:rFonts w:ascii="方正书宋_GBK" w:eastAsia="方正书宋_GBK" w:hint="eastAsia"/>
          <w:b/>
          <w:bCs/>
          <w:spacing w:val="-50"/>
        </w:rPr>
        <w:t>），</w:t>
      </w:r>
      <w:r>
        <w:rPr>
          <w:rFonts w:ascii="方正书宋_GBK" w:eastAsia="方正书宋_GBK" w:hint="eastAsia"/>
          <w:b/>
          <w:bCs/>
          <w:spacing w:val="7"/>
        </w:rPr>
        <w:t>分</w:t>
      </w:r>
      <w:r>
        <w:rPr>
          <w:rFonts w:ascii="方正书宋_GBK" w:eastAsia="方正书宋_GBK" w:hint="eastAsia"/>
          <w:b/>
          <w:bCs/>
          <w:spacing w:val="6"/>
        </w:rPr>
        <w:t>情况选择填列。</w:t>
      </w:r>
    </w:p>
    <w:p>
      <w:pPr>
        <w:pStyle w:val="73"/>
        <w:spacing w:before="66" w:line="274" w:lineRule="auto"/>
        <w:ind w:firstLine="434"/>
        <w:rPr>
          <w:rFonts w:ascii="方正书宋_GBK" w:eastAsia="方正书宋_GBK" w:hint="eastAsia"/>
        </w:rPr>
      </w:pPr>
      <w:r>
        <w:rPr>
          <w:rFonts w:ascii="方正书宋_GBK" w:eastAsia="方正书宋_GBK" w:hint="eastAsia"/>
          <w:b/>
          <w:bCs/>
          <w:spacing w:val="4"/>
        </w:rPr>
        <w:t>16.文物来源包括文物普查、考古调查、勘探和发掘、征集、购买、调拨、捐赠、依法置换、</w:t>
      </w:r>
      <w:r>
        <w:rPr>
          <w:rFonts w:ascii="方正书宋_GBK" w:eastAsia="方正书宋_GBK" w:hint="eastAsia"/>
        </w:rPr>
        <w:t xml:space="preserve"> </w:t>
      </w:r>
      <w:r>
        <w:rPr>
          <w:rFonts w:ascii="方正书宋_GBK" w:eastAsia="方正书宋_GBK" w:hint="eastAsia"/>
          <w:b/>
          <w:bCs/>
          <w:spacing w:val="6"/>
        </w:rPr>
        <w:t>依法接收、指定保管等方式。</w:t>
      </w:r>
    </w:p>
    <w:p>
      <w:pPr>
        <w:pStyle w:val="15"/>
        <w:ind w:firstLine="560"/>
        <w:rPr>
          <w:rFonts w:ascii="方正书宋_GBK" w:eastAsia="方正书宋_GBK" w:hint="eastAsia"/>
        </w:rPr>
      </w:pPr>
    </w:p>
    <w:sectPr>
      <w:pgSz w:w="11907" w:h="16840"/>
      <w:pgMar w:top="2098" w:right="1474" w:bottom="1985" w:left="1588" w:header="851" w:footer="1418" w:gutter="0"/>
      <w:pgNumType w:fmt="numberInDash"/>
      <w:docGrid w:type="linesAndChars" w:linePitch="579" w:charSpace="-841"/>
    </w:sectPr>
  </w:body>
</w:document>
</file>

<file path=word/fontTable.xml><?xml version="1.0" encoding="utf-8"?>
<w:fonts xmlns:w="http://schemas.openxmlformats.org/wordprocessingml/2006/main" xmlns:r="http://schemas.openxmlformats.org/officeDocument/2006/relationships">
  <w:font w:name="Arial">
    <w:altName w:val="DejaVu Sans"/>
    <w:panose1 w:val="020B0604020202020204"/>
    <w:charset w:val="01"/>
    <w:family w:val="swiss"/>
    <w:pitch w:val="variable"/>
    <w:sig w:usb0="E0002AFF" w:usb1="C0007843" w:usb2="00000009" w:usb3="00000000" w:csb0="400001FF" w:csb1="FFFF0000"/>
  </w:font>
  <w:font w:name="寰蒋闆呴粦">
    <w:altName w:val="方正超粗黑_GBK"/>
    <w:panose1 w:val="00000000000000000000"/>
    <w:charset w:val="00"/>
    <w:family w:val="auto"/>
    <w:pitch w:val="variable"/>
    <w:sig w:usb0="00000000" w:usb1="00000000" w:usb2="00000000" w:usb3="00000000" w:csb0="00000000" w:csb1="00000000"/>
  </w:font>
  <w:font w:name="仿宋_GB2312">
    <w:altName w:val="仿宋"/>
    <w:panose1 w:val="02010609030101010101"/>
    <w:charset w:val="86"/>
    <w:family w:val="modern"/>
    <w:pitch w:val="variable"/>
    <w:sig w:usb0="00000000" w:usb1="00000000" w:usb2="00000000" w:usb3="00000000" w:csb0="00040000" w:csb1="00000000"/>
  </w:font>
  <w:font w:name="仿宋">
    <w:panose1 w:val="02010609060101010101"/>
    <w:charset w:val="86"/>
    <w:family w:val="modern"/>
    <w:pitch w:val="variable"/>
    <w:sig w:usb0="800002BF" w:usb1="38CF7CFA" w:usb2="00000016" w:usb3="00000000" w:csb0="00040001" w:csb1="00000000"/>
  </w:font>
  <w:font w:name="方正小标宋_GBK">
    <w:panose1 w:val="02000000000000000000"/>
    <w:charset w:val="86"/>
    <w:family w:val="script"/>
    <w:pitch w:val="variable"/>
    <w:sig w:usb0="A00002BF" w:usb1="38CF7CFA" w:usb2="00082016" w:usb3="00000000" w:csb0="00040001" w:csb1="00000000"/>
  </w:font>
  <w:font w:name="黑体">
    <w:panose1 w:val="02010609060101010101"/>
    <w:charset w:val="86"/>
    <w:family w:val="auto"/>
    <w:pitch w:val="variable"/>
    <w:sig w:usb0="800002BF" w:usb1="38CF7CFA" w:usb2="00000016" w:usb3="00000000" w:csb0="00040001" w:csb1="00000000"/>
  </w:font>
  <w:font w:name="宋体">
    <w:altName w:val="方正书宋_GBK"/>
    <w:panose1 w:val="02010600030101010101"/>
    <w:charset w:val="7A"/>
    <w:family w:val="auto"/>
    <w:pitch w:val="variable"/>
    <w:sig w:usb0="00000003" w:usb1="288F0000" w:usb2="00000006" w:usb3="00000000" w:csb0="00040001" w:csb1="00000000"/>
  </w:font>
  <w:font w:name="CESI宋体-GB2312">
    <w:panose1 w:val="02000500000000000000"/>
    <w:charset w:val="86"/>
    <w:family w:val="script"/>
    <w:pitch w:val="variable"/>
    <w:sig w:usb0="800002AF" w:usb1="08476CF8" w:usb2="00000010" w:usb3="00000000" w:csb0="0004000F" w:csb1="00000000"/>
  </w:font>
  <w:font w:name="方正小标宋简体">
    <w:panose1 w:val="02000000000000000000"/>
    <w:charset w:val="86"/>
    <w:family w:val="script"/>
    <w:pitch w:val="variable"/>
    <w:sig w:usb0="A00002BF" w:usb1="184F6CFA" w:usb2="00000012" w:usb3="00000000" w:csb0="00040001" w:csb1="00000000"/>
  </w:font>
  <w:font w:name="方正隶书_GBK">
    <w:panose1 w:val="02000000000000000000"/>
    <w:charset w:val="86"/>
    <w:family w:val="script"/>
    <w:pitch w:val="variable"/>
    <w:sig w:usb0="A00002BF" w:usb1="38CF7CFA" w:usb2="00082016" w:usb3="00000000" w:csb0="00040001" w:csb1="00000000"/>
  </w:font>
  <w:font w:name="方正书宋_GBK">
    <w:panose1 w:val="02000000000000000000"/>
    <w:charset w:val="86"/>
    <w:family w:val="script"/>
    <w:pitch w:val="variable"/>
    <w:sig w:usb0="A00002BF" w:usb1="38CF7CFA" w:usb2="00082016" w:usb3="00000000" w:csb0="00040001" w:csb1="00000000"/>
  </w:font>
  <w:font w:name="SimSun">
    <w:altName w:val="方正超粗黑_GBK"/>
    <w:panose1 w:val="02010600030101010101"/>
    <w:charset w:val="86"/>
    <w:family w:val="auto"/>
    <w:pitch w:val="variable"/>
    <w:sig w:usb0="00000003" w:usb1="288F0000" w:usb2="00000006" w:usb3="00000000" w:csb0="00040001" w:csb1="00000000"/>
  </w:font>
  <w:font w:name="Times New Roman">
    <w:altName w:val="方正超粗黑_GBK"/>
    <w:panose1 w:val="02020603050405020304"/>
    <w:charset w:val="86"/>
    <w:family w:val="auto"/>
    <w:pitch w:val="variable"/>
    <w:sig w:usb0="E0002AFF" w:usb1="C0007841" w:usb2="00000009" w:usb3="00000000" w:csb0="400001FF" w:csb1="FFFF0000"/>
  </w:font>
  <w:font w:name="Calibri">
    <w:altName w:val="DejaVu Sans"/>
    <w:panose1 w:val="020F0502020204030204"/>
    <w:charset w:val="00"/>
    <w:family w:val="swiss"/>
    <w:pitch w:val="variable"/>
    <w:sig w:usb0="E00002FF" w:usb1="4000ACFF" w:usb2="00000001" w:usb3="00000000" w:csb0="2000019F" w:csb1="00000000"/>
  </w:font>
  <w:font w:name="Luxi Sans">
    <w:altName w:val="DejaVu Sans"/>
    <w:panose1 w:val="00000000000000000000"/>
    <w:charset w:val="00"/>
    <w:family w:val="auto"/>
    <w:pitch w:val="variable"/>
    <w:sig w:usb0="00000000" w:usb1="00000000" w:usb2="00000000" w:usb3="00000000" w:csb0="00000000"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9"/>
      <w:framePr w:w="0" w:hRule="auto" w:wrap="around" w:vAnchor="text" w:hAnchor="margin" w:xAlign="outside" w:y="1" w:anchorLock="0"/>
      <w:pBdr>
        <w:top w:val="none" w:sz="0" w:space="0" w:color="auto"/>
        <w:left w:val="none" w:sz="0" w:space="0" w:color="auto"/>
        <w:bottom w:val="none" w:sz="0" w:space="0" w:color="auto"/>
        <w:right w:val="none" w:sz="0" w:space="0" w:color="auto"/>
      </w:pBdr>
      <w:tabs>
        <w:tab w:val="center" w:pos="4153"/>
        <w:tab w:val="right" w:pos="8306"/>
      </w:tabs>
      <w:rPr>
        <w:sz w:val="28"/>
        <w:szCs w:val="28"/>
      </w:rPr>
    </w:pPr>
    <w:r>
      <w:rPr>
        <w:rStyle w:val="26"/>
        <w:sz w:val="28"/>
        <w:szCs w:val="28"/>
      </w:rPr>
      <w:fldChar w:fldCharType="begin"/>
    </w:r>
    <w:r>
      <w:rPr>
        <w:rStyle w:val="26"/>
        <w:sz w:val="28"/>
        <w:szCs w:val="28"/>
      </w:rPr>
      <w:instrText>Page</w:instrText>
    </w:r>
    <w:r>
      <w:rPr>
        <w:rStyle w:val="26"/>
        <w:sz w:val="28"/>
        <w:szCs w:val="28"/>
      </w:rPr>
      <w:fldChar w:fldCharType="separate"/>
    </w:r>
    <w:r>
      <w:rPr>
        <w:rStyle w:val="26"/>
        <w:sz w:val="28"/>
        <w:szCs w:val="28"/>
      </w:rPr>
      <w:t>- 1 -</w:t>
    </w:r>
    <w:r>
      <w:rPr>
        <w:rStyle w:val="26"/>
        <w:sz w:val="28"/>
        <w:szCs w:val="28"/>
      </w:rPr>
      <w:fldChar w:fldCharType="end"/>
    </w:r>
  </w:p>
  <w:p>
    <w:pPr>
      <w:pStyle w:val="19"/>
      <w:tabs>
        <w:tab w:val="center" w:pos="4153"/>
        <w:tab w:val="right" w:pos="8306"/>
      </w:tabs>
      <w:ind w:right="360" w:firstLine="360"/>
      <w:rPr>
        <w:sz w:val="28"/>
        <w:szCs w:val="28"/>
      </w:rPr>
    </w:pP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9"/>
      <w:framePr w:w="0" w:hRule="auto" w:wrap="around" w:vAnchor="text" w:hAnchor="margin" w:xAlign="outside" w:y="1" w:anchorLock="0"/>
      <w:pBdr>
        <w:top w:val="none" w:sz="0" w:space="0" w:color="auto"/>
        <w:left w:val="none" w:sz="0" w:space="0" w:color="auto"/>
        <w:bottom w:val="none" w:sz="0" w:space="0" w:color="auto"/>
        <w:right w:val="none" w:sz="0" w:space="0" w:color="auto"/>
      </w:pBdr>
      <w:tabs>
        <w:tab w:val="center" w:pos="4153"/>
        <w:tab w:val="right" w:pos="8306"/>
      </w:tabs>
      <w:rPr>
        <w:sz w:val="28"/>
        <w:szCs w:val="28"/>
      </w:rPr>
    </w:pPr>
    <w:r>
      <w:rPr>
        <w:rStyle w:val="26"/>
        <w:sz w:val="28"/>
        <w:szCs w:val="28"/>
      </w:rPr>
      <w:fldChar w:fldCharType="begin"/>
    </w:r>
    <w:r>
      <w:rPr>
        <w:rStyle w:val="26"/>
        <w:sz w:val="28"/>
        <w:szCs w:val="28"/>
      </w:rPr>
      <w:instrText>Page</w:instrText>
    </w:r>
    <w:r>
      <w:rPr>
        <w:rStyle w:val="26"/>
        <w:sz w:val="28"/>
        <w:szCs w:val="28"/>
      </w:rPr>
      <w:fldChar w:fldCharType="separate"/>
    </w:r>
    <w:r>
      <w:rPr>
        <w:rStyle w:val="26"/>
        <w:sz w:val="28"/>
        <w:szCs w:val="28"/>
      </w:rPr>
      <w:t>- 2 -</w:t>
    </w:r>
    <w:r>
      <w:rPr>
        <w:rStyle w:val="26"/>
        <w:sz w:val="28"/>
        <w:szCs w:val="28"/>
      </w:rPr>
      <w:fldChar w:fldCharType="end"/>
    </w:r>
  </w:p>
  <w:p>
    <w:pPr>
      <w:pStyle w:val="19"/>
      <w:tabs>
        <w:tab w:val="center" w:pos="4153"/>
        <w:tab w:val="right" w:pos="8306"/>
      </w:tabs>
      <w:ind w:right="360" w:firstLine="360"/>
    </w:pPr>
  </w:p>
</w:ftr>
</file>

<file path=word/header1.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line="14" w:lineRule="auto"/>
      <w:rPr>
        <w:rFonts w:ascii="Arial" w:hAnsi="Arial"/>
        <w:sz w:val="2"/>
      </w:rPr>
    </w:pPr>
  </w:p>
</w:hdr>
</file>

<file path=word/header2.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line="14" w:lineRule="auto"/>
      <w:rPr>
        <w:rFonts w:ascii="Arial" w:hAnsi="Arial"/>
        <w:sz w:val="2"/>
      </w:rPr>
    </w:pPr>
  </w:p>
</w:hd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val="0"/>
  <w:bordersDoNotSurroundFooter w:val="0"/>
  <w:documentProtection w:edit="readOnly" w:enforcement="0"/>
  <w:defaultTabStop w:val="420"/>
  <w:evenAndOddHeaders/>
  <w:drawingGridHorizontalSpacing w:val="157"/>
  <w:drawingGridVerticalSpacing w:val="289"/>
  <w:displayHorizontalDrawingGridEvery w:val="2"/>
  <w:displayVerticalDrawingGridEvery w:val="2"/>
  <w:noPunctuationKerning/>
  <w:characterSpacingControl w:val="compressPunctuation"/>
  <w:compat>
    <w:spaceForUL/>
    <w:balanceSingleByteDoubleByteWidth/>
    <w:ulTrailSpace/>
    <w:doNotExpandShiftReturn/>
    <w:adjustLineHeightInTable/>
    <w:doNotUseIndentAsNumberingTabStop/>
    <w:compatSetting w:name="compatibilityMode" w:uri="http://schemas.microsoft.com/office/word" w:val="12"/>
  </w:compat>
  <w:docVars>
    <w:docVar w:name="commondata" w:val="eyJoZGlkIjoiOGUzMjAzNWQzN2JmODgxOTE0YmRmNDNlOWRlMTYyNDIifQ=="/>
  </w:docVar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next w:val="15"/>
    <w:pPr>
      <w:widowControl w:val="0"/>
      <w:jc w:val="both"/>
    </w:pPr>
    <w:rPr>
      <w:rFonts w:ascii="Calibri" w:eastAsia="仿宋" w:cs="Arial" w:hAnsi="Calibri"/>
      <w:kern w:val="2"/>
      <w:sz w:val="32"/>
      <w:szCs w:val="22"/>
      <w:lang w:val="en-US" w:eastAsia="zh-CN" w:bidi="ar-SA"/>
    </w:rPr>
  </w:style>
  <w:style w:type="paragraph" w:styleId="1">
    <w:name w:val="heading 1"/>
    <w:basedOn w:val="0"/>
    <w:next w:val="0"/>
    <w:pPr>
      <w:widowControl/>
      <w:jc w:val="left"/>
      <w:outlineLvl w:val="0"/>
    </w:pPr>
    <w:rPr>
      <w:rFonts w:ascii="宋体" w:eastAsia="宋体" w:cs="宋体"/>
      <w:b/>
      <w:bCs/>
      <w:kern w:val="36"/>
      <w:sz w:val="48"/>
      <w:szCs w:val="48"/>
    </w:rPr>
  </w:style>
  <w:style w:type="paragraph" w:styleId="2">
    <w:name w:val="heading 2"/>
    <w:basedOn w:val="0"/>
    <w:next w:val="0"/>
    <w:pPr>
      <w:keepNext/>
      <w:keepLines/>
      <w:widowControl w:val="0"/>
      <w:spacing w:before="260" w:after="260" w:line="415" w:lineRule="auto"/>
      <w:outlineLvl w:val="1"/>
    </w:pPr>
    <w:rPr>
      <w:rFonts w:ascii="Luxi Sans" w:eastAsia="黑体" w:hAnsi="Luxi Sans"/>
      <w:b/>
      <w:sz w:val="32"/>
    </w:rPr>
  </w:style>
  <w:style w:type="paragraph" w:styleId="3">
    <w:name w:val="heading 3"/>
    <w:basedOn w:val="0"/>
    <w:next w:val="0"/>
    <w:pPr>
      <w:keepNext/>
      <w:keepLines/>
      <w:widowControl w:val="0"/>
      <w:spacing w:before="260" w:after="260" w:line="415" w:lineRule="auto"/>
      <w:outlineLvl w:val="2"/>
    </w:pPr>
    <w:rPr>
      <w:b/>
      <w:sz w:val="32"/>
    </w:rPr>
  </w:style>
  <w:style w:type="character" w:default="1" w:styleId="10">
    <w:name w:val="Default Paragraph Font"/>
  </w:style>
  <w:style w:type="paragraph" w:customStyle="1" w:styleId="15">
    <w:name w:val="样式 正文11 + 首行缩进:  2 字符"/>
    <w:basedOn w:val="0"/>
    <w:pPr>
      <w:ind w:firstLine="560"/>
    </w:pPr>
    <w:rPr>
      <w:rFonts w:ascii="宋体" w:cs="宋体" w:hAnsi="宋体"/>
      <w:color w:val="FF0000"/>
      <w:szCs w:val="20"/>
    </w:rPr>
  </w:style>
  <w:style w:type="paragraph" w:styleId="16">
    <w:name w:val="Normal Indent"/>
    <w:basedOn w:val="0"/>
    <w:pPr>
      <w:ind w:firstLineChars="200" w:firstLine="200"/>
    </w:pPr>
    <w:rPr>
      <w:rFonts w:eastAsia="仿宋_GB2312"/>
      <w:sz w:val="28"/>
    </w:rPr>
  </w:style>
  <w:style w:type="paragraph" w:styleId="17">
    <w:name w:val="index 5"/>
    <w:basedOn w:val="0"/>
    <w:next w:val="0"/>
    <w:pPr>
      <w:ind w:left="1680"/>
    </w:pPr>
  </w:style>
  <w:style w:type="paragraph" w:styleId="18">
    <w:name w:val="Balloon Text"/>
    <w:basedOn w:val="0"/>
    <w:rPr>
      <w:sz w:val="18"/>
      <w:szCs w:val="18"/>
    </w:rPr>
  </w:style>
  <w:style w:type="paragraph" w:styleId="19">
    <w:name w:val="footer"/>
    <w:basedOn w:val="0"/>
    <w:pPr>
      <w:tabs>
        <w:tab w:val="center" w:pos="4153"/>
        <w:tab w:val="right" w:pos="8306"/>
      </w:tabs>
      <w:snapToGrid w:val="0"/>
      <w:jc w:val="left"/>
    </w:pPr>
    <w:rPr>
      <w:sz w:val="18"/>
    </w:rPr>
  </w:style>
  <w:style w:type="paragraph" w:styleId="20">
    <w:name w:val="header"/>
    <w:basedOn w:val="0"/>
    <w:pPr>
      <w:pBdr>
        <w:top w:val="none" w:sz="0" w:space="0" w:color="auto"/>
        <w:left w:val="none" w:sz="0" w:space="0" w:color="auto"/>
        <w:bottom w:val="none" w:sz="0" w:space="0" w:color="auto"/>
        <w:right w:val="none" w:sz="0" w:space="0" w:color="auto"/>
      </w:pBdr>
      <w:tabs>
        <w:tab w:val="center" w:pos="4153"/>
        <w:tab w:val="right" w:pos="8306"/>
      </w:tabs>
      <w:snapToGrid w:val="0"/>
      <w:spacing w:line="240" w:lineRule="auto"/>
      <w:jc w:val="both"/>
      <w:outlineLvl w:val="9"/>
    </w:pPr>
    <w:rPr>
      <w:sz w:val="18"/>
    </w:rPr>
  </w:style>
  <w:style w:type="paragraph" w:styleId="21">
    <w:name w:val="Normal (Web)"/>
    <w:basedOn w:val="0"/>
    <w:pPr>
      <w:widowControl/>
      <w:jc w:val="left"/>
    </w:pPr>
    <w:rPr>
      <w:rFonts w:ascii="宋体" w:eastAsia="宋体" w:cs="宋体"/>
      <w:kern w:val="0"/>
      <w:sz w:val="24"/>
      <w:szCs w:val="24"/>
    </w:rPr>
  </w:style>
  <w:style w:type="character" w:styleId="22">
    <w:name w:val="FollowedHyperlink"/>
    <w:basedOn w:val="10"/>
    <w:rPr>
      <w:color w:val="555555"/>
      <w:u w:val="none"/>
    </w:rPr>
  </w:style>
  <w:style w:type="character" w:styleId="23">
    <w:name w:val="Hyperlink"/>
    <w:basedOn w:val="10"/>
    <w:rPr>
      <w:color w:val="005C81"/>
      <w:u w:val="none"/>
    </w:rPr>
  </w:style>
  <w:style w:type="character" w:customStyle="1" w:styleId="24">
    <w:name w:val="fr1"/>
    <w:basedOn w:val="10"/>
  </w:style>
  <w:style w:type="character" w:customStyle="1" w:styleId="25">
    <w:name w:val="bsharetext"/>
    <w:basedOn w:val="10"/>
  </w:style>
  <w:style w:type="character" w:styleId="26">
    <w:name w:val="page number"/>
    <w:basedOn w:val="10"/>
  </w:style>
  <w:style w:type="paragraph" w:styleId="73">
    <w:name w:val="Body Text"/>
    <w:next w:val="16"/>
    <w:pPr>
      <w:kinsoku w:val="0"/>
      <w:autoSpaceDE w:val="0"/>
      <w:autoSpaceDN w:val="0"/>
      <w:adjustRightInd w:val="0"/>
      <w:snapToGrid w:val="0"/>
      <w:spacing w:line="240" w:lineRule="auto"/>
      <w:jc w:val="left"/>
      <w:textAlignment w:val="baseline"/>
    </w:pPr>
    <w:rPr>
      <w:rFonts w:ascii="SimSun" w:eastAsia="SimSun" w:cs="SimSun"/>
      <w:snapToGrid w:val="0"/>
      <w:color w:val="000000"/>
      <w:kern w:val="0"/>
      <w:sz w:val="20"/>
      <w:szCs w:val="20"/>
      <w:lang w:val="en-US" w:bidi="ar-SA"/>
    </w:rPr>
  </w:style>
  <w:style w:type="paragraph" w:styleId="82">
    <w:name w:val="Salutation"/>
    <w:next w:val="0"/>
    <w:pPr>
      <w:widowControl w:val="0"/>
      <w:jc w:val="both"/>
    </w:pPr>
    <w:rPr>
      <w:rFonts w:ascii="Times New Roman" w:eastAsia="仿宋_GB2312" w:cs="Times New Roman" w:hAnsi="Times New Roman"/>
      <w:kern w:val="2"/>
      <w:sz w:val="32"/>
      <w:szCs w:val="24"/>
      <w:lang w:val="en-US" w:eastAsia="zh-CN" w:bidi="ar-SA"/>
    </w:rPr>
  </w:style>
  <w:style w:type="paragraph" w:customStyle="1" w:styleId="136">
    <w:name w:val="Table Text"/>
    <w:next w:val="15"/>
    <w:pPr>
      <w:kinsoku w:val="0"/>
      <w:autoSpaceDE w:val="0"/>
      <w:autoSpaceDN w:val="0"/>
      <w:adjustRightInd w:val="0"/>
      <w:snapToGrid w:val="0"/>
      <w:spacing w:line="240" w:lineRule="auto"/>
      <w:jc w:val="left"/>
      <w:textAlignment w:val="baseline"/>
    </w:pPr>
    <w:rPr>
      <w:rFonts w:ascii="Arial" w:eastAsia="Arial" w:cs="Arial" w:hAnsi="Arial"/>
      <w:snapToGrid w:val="0"/>
      <w:color w:val="000000"/>
      <w:kern w:val="0"/>
      <w:sz w:val="21"/>
      <w:szCs w:val="21"/>
      <w:lang w:val="en-US"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image" Target="media/4.jpg"/><Relationship Id="rId6" Type="http://schemas.openxmlformats.org/officeDocument/2006/relationships/header" Target="header2.xml"/><Relationship Id="rId7" Type="http://schemas.openxmlformats.org/officeDocument/2006/relationships/styles" Target="styles.xml"/><Relationship Id="rId8" Type="http://schemas.openxmlformats.org/officeDocument/2006/relationships/fontTable" Target="fontTable.xml"/></Relationships>
</file>

<file path=docProps/app.xml><?xml version="1.0" encoding="utf-8"?>
<Properties xmlns="http://schemas.openxmlformats.org/officeDocument/2006/extended-properties">
  <Template>Normal.eit</Template>
  <TotalTime>160</TotalTime>
  <Application>Yozo_Office27021597764231179</Application>
  <Pages>13</Pages>
  <Words>6574</Words>
  <Characters>6635</Characters>
  <Lines>582</Lines>
  <Paragraphs>260</Paragraphs>
  <CharactersWithSpaces>6817</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Administrator</dc:creator>
  <cp:lastModifiedBy>scz-109</cp:lastModifiedBy>
  <cp:revision>1</cp:revision>
  <cp:lastPrinted>2024-06-18T02:36:20Z</cp:lastPrinted>
  <dcterms:created xsi:type="dcterms:W3CDTF">2023-02-22T07:35:00Z</dcterms:created>
  <dcterms:modified xsi:type="dcterms:W3CDTF">2024-06-18T06:17:02Z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2052-11.1.0.13703</vt:lpwstr>
  </property>
  <property fmtid="{D5CDD505-2E9C-101B-9397-08002B2CF9AE}" pid="3" name="ICV">
    <vt:lpwstr>5478DE9BBB83496385594AD4526C6D0E</vt:lpwstr>
  </property>
</Properties>
</file>