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0E7F">
      <w:pPr>
        <w:spacing w:line="579" w:lineRule="exact"/>
        <w:ind w:firstLine="640" w:firstLineChars="200"/>
        <w:jc w:val="left"/>
        <w:rPr>
          <w:rFonts w:ascii="CESI宋体-GB2312" w:hAnsi="宋体" w:eastAsia="黑体" w:cs="Times New Roman"/>
          <w:sz w:val="32"/>
          <w:szCs w:val="32"/>
        </w:rPr>
      </w:pPr>
    </w:p>
    <w:p w14:paraId="186C1D56">
      <w:pPr>
        <w:spacing w:line="579" w:lineRule="exact"/>
        <w:ind w:firstLine="640" w:firstLineChars="200"/>
        <w:jc w:val="left"/>
        <w:rPr>
          <w:rFonts w:ascii="CESI宋体-GB2312" w:hAnsi="宋体" w:eastAsia="黑体" w:cs="Times New Roman"/>
          <w:sz w:val="32"/>
          <w:szCs w:val="32"/>
        </w:rPr>
      </w:pPr>
    </w:p>
    <w:p w14:paraId="3C78AC34">
      <w:pPr>
        <w:spacing w:line="579" w:lineRule="exact"/>
        <w:ind w:firstLine="640" w:firstLineChars="200"/>
        <w:rPr>
          <w:rFonts w:ascii="CESI宋体-GB2312" w:hAnsi="宋体" w:eastAsia="仿宋_GB2312" w:cs="Times New Roman"/>
          <w:sz w:val="32"/>
        </w:rPr>
      </w:pPr>
    </w:p>
    <w:p w14:paraId="49F87087">
      <w:pPr>
        <w:spacing w:line="579" w:lineRule="exact"/>
        <w:ind w:firstLine="640" w:firstLineChars="200"/>
        <w:rPr>
          <w:rFonts w:ascii="CESI宋体-GB2312" w:hAnsi="宋体" w:eastAsia="仿宋" w:cs="Times New Roman"/>
          <w:sz w:val="32"/>
          <w:szCs w:val="32"/>
        </w:rPr>
      </w:pPr>
    </w:p>
    <w:p w14:paraId="49225568">
      <w:pPr>
        <w:spacing w:line="579" w:lineRule="exact"/>
        <w:ind w:firstLine="640" w:firstLineChars="200"/>
        <w:rPr>
          <w:rFonts w:ascii="CESI宋体-GB2312" w:hAnsi="宋体" w:eastAsia="仿宋" w:cs="Times New Roman"/>
          <w:sz w:val="32"/>
          <w:szCs w:val="32"/>
        </w:rPr>
      </w:pPr>
    </w:p>
    <w:p w14:paraId="1F32F0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ESI宋体-GB2312" w:hAnsi="宋体" w:eastAsia="仿宋" w:cs="Times New Roman"/>
          <w:color w:val="FFFFFF" w:themeColor="background1"/>
          <w:sz w:val="21"/>
          <w:szCs w:val="21"/>
          <w:lang w:val="en-US" w:eastAsia="zh-CN"/>
          <w14:textFill>
            <w14:solidFill>
              <w14:schemeClr w14:val="bg1"/>
            </w14:solidFill>
          </w14:textFill>
        </w:rPr>
      </w:pPr>
      <w:r>
        <w:rPr>
          <w:rFonts w:hint="eastAsia" w:ascii="CESI宋体-GB2312" w:hAnsi="宋体" w:eastAsia="仿宋" w:cs="Times New Roman"/>
          <w:color w:val="FFFFFF" w:themeColor="background1"/>
          <w:sz w:val="21"/>
          <w:szCs w:val="21"/>
          <w:lang w:val="en-US" w:eastAsia="zh-CN"/>
          <w14:textFill>
            <w14:solidFill>
              <w14:schemeClr w14:val="bg1"/>
            </w14:solidFill>
          </w14:textFill>
        </w:rPr>
        <w:t xml:space="preserve"> 11</w:t>
      </w:r>
    </w:p>
    <w:p w14:paraId="3DC253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CESI宋体-GB2312" w:hAnsi="宋体" w:eastAsia="仿宋" w:cs="Times New Roman"/>
          <w:color w:val="FFFFFF" w:themeColor="background1"/>
          <w:sz w:val="21"/>
          <w:szCs w:val="21"/>
          <w:lang w:val="en-US" w:eastAsia="zh-CN"/>
          <w14:textFill>
            <w14:solidFill>
              <w14:schemeClr w14:val="bg1"/>
            </w14:solidFill>
          </w14:textFill>
        </w:rPr>
      </w:pPr>
      <w:r>
        <w:rPr>
          <w:rFonts w:hint="eastAsia" w:ascii="CESI宋体-GB2312" w:hAnsi="宋体" w:eastAsia="仿宋" w:cs="Times New Roman"/>
          <w:color w:val="FFFFFF" w:themeColor="background1"/>
          <w:sz w:val="21"/>
          <w:szCs w:val="21"/>
          <w:lang w:val="en-US" w:eastAsia="zh-CN"/>
          <w14:textFill>
            <w14:solidFill>
              <w14:schemeClr w14:val="bg1"/>
            </w14:solidFill>
          </w14:textFill>
        </w:rPr>
        <w:t>11</w:t>
      </w:r>
    </w:p>
    <w:p w14:paraId="6407AC2E">
      <w:pPr>
        <w:pStyle w:val="17"/>
        <w:spacing w:line="579"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白山财采购〔2025〕191号</w:t>
      </w:r>
    </w:p>
    <w:p w14:paraId="6025C99E">
      <w:pPr>
        <w:pStyle w:val="8"/>
        <w:jc w:val="center"/>
        <w:rPr>
          <w:rFonts w:hint="eastAsia" w:ascii="CESI宋体-GB2312" w:hAnsi="宋体" w:eastAsia="仿宋_GB2312"/>
          <w:kern w:val="2"/>
          <w:sz w:val="32"/>
          <w:szCs w:val="32"/>
        </w:rPr>
      </w:pPr>
    </w:p>
    <w:p w14:paraId="5DBECDDA">
      <w:pPr>
        <w:spacing w:line="800" w:lineRule="exact"/>
        <w:jc w:val="center"/>
        <w:rPr>
          <w:rFonts w:hint="eastAsia" w:ascii="CESI宋体-GB2312" w:hAnsi="方正小标宋简体" w:eastAsia="方正小标宋简体" w:cs="方正小标宋简体"/>
          <w:sz w:val="44"/>
          <w:szCs w:val="44"/>
        </w:rPr>
      </w:pPr>
      <w:r>
        <w:rPr>
          <w:rFonts w:hint="eastAsia" w:ascii="CESI宋体-GB2312" w:hAnsi="方正小标宋简体" w:eastAsia="方正小标宋简体" w:cs="方正小标宋简体"/>
          <w:sz w:val="44"/>
          <w:szCs w:val="44"/>
        </w:rPr>
        <w:t>政府采购监督检查处理决定书</w:t>
      </w:r>
    </w:p>
    <w:p w14:paraId="6C24ECCC">
      <w:pPr>
        <w:rPr>
          <w:rFonts w:hint="eastAsia" w:ascii="CESI宋体-GB2312" w:hAnsi="宋体" w:eastAsia="仿宋_GB2312"/>
          <w:sz w:val="32"/>
          <w:szCs w:val="32"/>
        </w:rPr>
      </w:pPr>
    </w:p>
    <w:p w14:paraId="20EED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宋体-GB2312" w:hAnsi="宋体" w:eastAsia="仿宋_GB2312"/>
          <w:sz w:val="32"/>
          <w:szCs w:val="32"/>
        </w:rPr>
      </w:pPr>
      <w:r>
        <w:rPr>
          <w:rFonts w:hint="eastAsia" w:ascii="CESI宋体-GB2312" w:hAnsi="宋体" w:eastAsia="仿宋_GB2312"/>
          <w:sz w:val="32"/>
          <w:szCs w:val="32"/>
          <w:lang w:val="en-US" w:eastAsia="zh-CN"/>
        </w:rPr>
        <w:t>长白山职业技术学院</w:t>
      </w:r>
      <w:r>
        <w:rPr>
          <w:rFonts w:hint="eastAsia" w:ascii="CESI宋体-GB2312" w:hAnsi="宋体" w:eastAsia="仿宋_GB2312"/>
          <w:sz w:val="32"/>
          <w:szCs w:val="32"/>
        </w:rPr>
        <w:t>：</w:t>
      </w:r>
    </w:p>
    <w:p w14:paraId="51074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宋体-GB2312" w:hAnsi="宋体" w:eastAsia="仿宋_GB2312"/>
          <w:sz w:val="32"/>
          <w:szCs w:val="32"/>
        </w:rPr>
      </w:pPr>
      <w:r>
        <w:rPr>
          <w:rFonts w:hint="eastAsia" w:ascii="CESI宋体-GB2312" w:hAnsi="仿宋_GB2312" w:eastAsia="仿宋_GB2312" w:cs="仿宋_GB2312"/>
          <w:sz w:val="32"/>
          <w:szCs w:val="32"/>
        </w:rPr>
        <w:t>按照</w:t>
      </w:r>
      <w:r>
        <w:rPr>
          <w:rFonts w:hint="eastAsia" w:ascii="CESI宋体-GB2312" w:hAnsi="仿宋_GB2312" w:eastAsia="仿宋_GB2312" w:cs="仿宋_GB2312"/>
          <w:sz w:val="32"/>
          <w:szCs w:val="32"/>
          <w:lang w:val="en-US" w:eastAsia="zh-CN"/>
        </w:rPr>
        <w:t>吉林</w:t>
      </w:r>
      <w:r>
        <w:rPr>
          <w:rFonts w:hint="eastAsia" w:ascii="CESI宋体-GB2312" w:hAnsi="仿宋_GB2312" w:eastAsia="仿宋_GB2312" w:cs="仿宋_GB2312"/>
          <w:sz w:val="32"/>
          <w:szCs w:val="32"/>
          <w:highlight w:val="none"/>
          <w:lang w:val="en-US" w:eastAsia="zh-CN"/>
        </w:rPr>
        <w:t>省发展与改革委员会有关</w:t>
      </w:r>
      <w:r>
        <w:rPr>
          <w:rFonts w:hint="eastAsia" w:ascii="CESI宋体-GB2312" w:hAnsi="仿宋_GB2312" w:eastAsia="仿宋_GB2312" w:cs="仿宋_GB2312"/>
          <w:sz w:val="32"/>
          <w:szCs w:val="32"/>
          <w:highlight w:val="none"/>
        </w:rPr>
        <w:t>要求</w:t>
      </w:r>
      <w:r>
        <w:rPr>
          <w:rFonts w:hint="eastAsia" w:ascii="CESI宋体-GB2312" w:hAnsi="宋体" w:eastAsia="仿宋_GB2312"/>
          <w:sz w:val="32"/>
          <w:szCs w:val="32"/>
        </w:rPr>
        <w:t>，我局对你</w:t>
      </w:r>
      <w:r>
        <w:rPr>
          <w:rFonts w:hint="eastAsia" w:ascii="CESI宋体-GB2312" w:hAnsi="宋体" w:eastAsia="仿宋_GB2312"/>
          <w:sz w:val="32"/>
          <w:szCs w:val="32"/>
          <w:lang w:val="en-US" w:eastAsia="zh-CN"/>
        </w:rPr>
        <w:t>单位</w:t>
      </w:r>
      <w:r>
        <w:rPr>
          <w:rFonts w:hint="eastAsia" w:ascii="CESI宋体-GB2312" w:hAnsi="宋体" w:eastAsia="仿宋_GB2312"/>
          <w:sz w:val="32"/>
          <w:szCs w:val="32"/>
        </w:rPr>
        <w:t>在20</w:t>
      </w:r>
      <w:r>
        <w:rPr>
          <w:rFonts w:hint="eastAsia" w:ascii="CESI宋体-GB2312" w:hAnsi="宋体" w:eastAsia="仿宋_GB2312"/>
          <w:sz w:val="32"/>
          <w:szCs w:val="32"/>
          <w:lang w:val="en-US" w:eastAsia="zh-CN"/>
        </w:rPr>
        <w:t>18</w:t>
      </w:r>
      <w:r>
        <w:rPr>
          <w:rFonts w:hint="eastAsia" w:ascii="CESI宋体-GB2312" w:hAnsi="宋体" w:eastAsia="仿宋_GB2312"/>
          <w:sz w:val="32"/>
          <w:szCs w:val="32"/>
        </w:rPr>
        <w:t>年度</w:t>
      </w:r>
      <w:r>
        <w:rPr>
          <w:rFonts w:hint="eastAsia" w:ascii="CESI宋体-GB2312" w:hAnsi="宋体" w:eastAsia="仿宋_GB2312"/>
          <w:sz w:val="32"/>
          <w:szCs w:val="32"/>
          <w:lang w:val="en-US" w:eastAsia="zh-CN"/>
        </w:rPr>
        <w:t>采购</w:t>
      </w:r>
      <w:r>
        <w:rPr>
          <w:rFonts w:hint="eastAsia" w:ascii="CESI宋体-GB2312" w:hAnsi="宋体" w:eastAsia="仿宋_GB2312"/>
          <w:sz w:val="32"/>
          <w:szCs w:val="32"/>
        </w:rPr>
        <w:t>的</w:t>
      </w:r>
      <w:r>
        <w:rPr>
          <w:rFonts w:hint="eastAsia" w:ascii="CESI宋体-GB2312" w:hAnsi="宋体" w:eastAsia="仿宋_GB2312"/>
          <w:sz w:val="32"/>
          <w:szCs w:val="32"/>
          <w:lang w:val="en-US" w:eastAsia="zh-CN"/>
        </w:rPr>
        <w:t>1</w:t>
      </w:r>
      <w:r>
        <w:rPr>
          <w:rFonts w:hint="eastAsia" w:ascii="CESI宋体-GB2312" w:hAnsi="宋体" w:eastAsia="仿宋_GB2312"/>
          <w:sz w:val="32"/>
          <w:szCs w:val="32"/>
        </w:rPr>
        <w:t>个政府采购项目情况开展了专项检查，发现存在违法违规行为问题</w:t>
      </w:r>
      <w:r>
        <w:rPr>
          <w:rFonts w:hint="eastAsia" w:ascii="CESI宋体-GB2312" w:hAnsi="宋体" w:eastAsia="仿宋_GB2312"/>
          <w:sz w:val="32"/>
          <w:szCs w:val="32"/>
          <w:lang w:val="en-US" w:eastAsia="zh-CN"/>
        </w:rPr>
        <w:t>3个，</w:t>
      </w:r>
      <w:r>
        <w:rPr>
          <w:rFonts w:hint="eastAsia" w:ascii="CESI宋体-GB2312" w:hAnsi="宋体" w:eastAsia="仿宋_GB2312"/>
          <w:sz w:val="32"/>
          <w:szCs w:val="32"/>
        </w:rPr>
        <w:t>现作出如下处理决定：</w:t>
      </w:r>
    </w:p>
    <w:p w14:paraId="3AD2ED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textAlignment w:val="auto"/>
        <w:rPr>
          <w:rFonts w:hint="eastAsia" w:ascii="CESI宋体-GB2312" w:hAnsi="黑体" w:eastAsia="黑体" w:cs="黑体"/>
          <w:sz w:val="32"/>
          <w:szCs w:val="32"/>
        </w:rPr>
      </w:pPr>
      <w:r>
        <w:rPr>
          <w:rFonts w:hint="eastAsia" w:ascii="CESI宋体-GB2312" w:hAnsi="黑体" w:eastAsia="黑体" w:cs="黑体"/>
          <w:sz w:val="32"/>
          <w:szCs w:val="32"/>
        </w:rPr>
        <w:t>违法违规行为问题</w:t>
      </w:r>
    </w:p>
    <w:p w14:paraId="10B2F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仿宋_GB2312" w:cs="楷体"/>
          <w:b w:val="0"/>
          <w:bCs w:val="0"/>
          <w:sz w:val="32"/>
          <w:szCs w:val="32"/>
          <w:lang w:val="en-US" w:eastAsia="zh-CN"/>
        </w:rPr>
      </w:pPr>
      <w:r>
        <w:rPr>
          <w:rFonts w:hint="eastAsia" w:ascii="楷体" w:hAnsi="楷体" w:eastAsia="楷体" w:cs="楷体"/>
          <w:b w:val="0"/>
          <w:bCs w:val="0"/>
          <w:kern w:val="2"/>
          <w:sz w:val="32"/>
          <w:szCs w:val="32"/>
          <w:lang w:val="en-US" w:eastAsia="zh-CN" w:bidi="ar-SA"/>
        </w:rPr>
        <w:t>（一）</w:t>
      </w:r>
      <w:r>
        <w:rPr>
          <w:rFonts w:hint="eastAsia" w:ascii="CESI宋体-GB2312" w:hAnsi="楷体" w:eastAsia="楷体" w:cs="楷体"/>
          <w:sz w:val="32"/>
          <w:szCs w:val="32"/>
        </w:rPr>
        <w:t>未按规定收取保证金。</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val="en-US" w:eastAsia="zh-CN"/>
        </w:rPr>
        <w:t>长白山职业技术学院护理系实训室建设项目</w:t>
      </w:r>
      <w:r>
        <w:rPr>
          <w:rFonts w:hint="eastAsia" w:ascii="CESI宋体-GB2312" w:hAnsi="仿宋_GB2312" w:eastAsia="仿宋_GB2312" w:cs="仿宋_GB2312"/>
          <w:sz w:val="32"/>
          <w:szCs w:val="32"/>
        </w:rPr>
        <w:t>”项目采购文件限制保证金缴纳形式违反了《政府采购法实施条例》第三十三条“招标文件要求投标人提交投标保证金的，投标保证金不得超过采购项目预算金额的2%。投标保证金应当以支票、汇票、本票或者金融机构、担保机构出具的保函等非现金形式提交”的规定。</w:t>
      </w:r>
      <w:r>
        <w:rPr>
          <w:rFonts w:hint="eastAsia" w:ascii="CESI宋体-GB2312" w:hAnsi="仿宋_GB2312" w:eastAsia="仿宋_GB2312" w:cs="仿宋_GB2312"/>
          <w:sz w:val="32"/>
          <w:szCs w:val="32"/>
          <w:lang w:val="en-US" w:eastAsia="zh-CN"/>
        </w:rPr>
        <w:t>同时，</w:t>
      </w:r>
      <w:r>
        <w:rPr>
          <w:rFonts w:hint="eastAsia" w:ascii="CESI宋体-GB2312" w:hAnsi="宋体" w:eastAsia="仿宋_GB2312"/>
          <w:sz w:val="32"/>
          <w:szCs w:val="32"/>
        </w:rPr>
        <w:t>项目采购文件</w:t>
      </w:r>
      <w:r>
        <w:rPr>
          <w:rFonts w:hint="eastAsia" w:ascii="CESI宋体-GB2312" w:hAnsi="宋体" w:eastAsia="仿宋_GB2312"/>
          <w:sz w:val="32"/>
          <w:szCs w:val="32"/>
          <w:lang w:val="en-US" w:eastAsia="zh-CN"/>
        </w:rPr>
        <w:t>规定投标保证金到账截止时间早于投标截止时间</w:t>
      </w:r>
      <w:r>
        <w:rPr>
          <w:rFonts w:hint="eastAsia" w:ascii="CESI宋体-GB2312" w:hAnsi="宋体" w:eastAsia="仿宋_GB2312"/>
          <w:sz w:val="32"/>
          <w:szCs w:val="32"/>
        </w:rPr>
        <w:t>。</w:t>
      </w:r>
      <w:r>
        <w:rPr>
          <w:rFonts w:hint="eastAsia" w:ascii="CESI宋体-GB2312" w:hAnsi="宋体" w:eastAsia="仿宋_GB2312"/>
          <w:sz w:val="32"/>
          <w:szCs w:val="32"/>
          <w:lang w:val="en-US" w:eastAsia="zh-CN"/>
        </w:rPr>
        <w:t>违反《财政部关于促进政府采购公平竞争优化营商环境的通知》</w:t>
      </w:r>
      <w:r>
        <w:rPr>
          <w:rFonts w:hint="eastAsia" w:ascii="CESI宋体-GB2312" w:hAnsi="宋体" w:eastAsia="仿宋_GB2312"/>
          <w:sz w:val="32"/>
          <w:szCs w:val="32"/>
        </w:rPr>
        <w:t>“</w:t>
      </w:r>
      <w:r>
        <w:rPr>
          <w:rFonts w:hint="eastAsia" w:ascii="CESI宋体-GB2312" w:hAnsi="宋体" w:eastAsia="仿宋_GB2312"/>
          <w:sz w:val="32"/>
          <w:szCs w:val="32"/>
          <w:lang w:val="en-US" w:eastAsia="zh-CN"/>
        </w:rPr>
        <w:t>收取投标（响应）保证金的，采购人、代理机构约定的到账（保函提交）截止时间应当与投标（响应）截止时间一致，并按照规定及时退还供应商。</w:t>
      </w:r>
      <w:r>
        <w:rPr>
          <w:rFonts w:hint="eastAsia" w:ascii="CESI宋体-GB2312" w:hAnsi="宋体" w:eastAsia="仿宋_GB2312"/>
          <w:sz w:val="32"/>
          <w:szCs w:val="32"/>
        </w:rPr>
        <w:t>”的规定。</w:t>
      </w:r>
    </w:p>
    <w:p w14:paraId="6BE8FD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二）评审因素未量化</w:t>
      </w:r>
      <w:r>
        <w:rPr>
          <w:rFonts w:hint="eastAsia" w:ascii="楷体" w:hAnsi="楷体" w:eastAsia="楷体" w:cs="楷体"/>
          <w:b w:val="0"/>
          <w:bCs w:val="0"/>
          <w:sz w:val="32"/>
          <w:szCs w:val="32"/>
        </w:rPr>
        <w:t>。</w:t>
      </w:r>
      <w:r>
        <w:rPr>
          <w:rFonts w:hint="eastAsia" w:ascii="CESI宋体-GB2312" w:hAnsi="仿宋_GB2312" w:eastAsia="仿宋_GB2312" w:cs="仿宋_GB2312"/>
          <w:sz w:val="32"/>
          <w:szCs w:val="32"/>
        </w:rPr>
        <w:t>“</w:t>
      </w:r>
      <w:r>
        <w:rPr>
          <w:rFonts w:hint="eastAsia" w:ascii="CESI宋体-GB2312" w:hAnsi="仿宋_GB2312" w:eastAsia="仿宋_GB2312" w:cs="仿宋_GB2312"/>
          <w:sz w:val="32"/>
          <w:szCs w:val="32"/>
          <w:lang w:val="en-US" w:eastAsia="zh-CN"/>
        </w:rPr>
        <w:t>长白山职业技术学院护理系实训室建设项目</w:t>
      </w:r>
      <w:r>
        <w:rPr>
          <w:rFonts w:hint="eastAsia" w:ascii="CESI宋体-GB2312" w:hAnsi="仿宋_GB2312" w:eastAsia="仿宋_GB2312" w:cs="仿宋_GB2312"/>
          <w:sz w:val="32"/>
          <w:szCs w:val="32"/>
        </w:rPr>
        <w:t>”项目采购</w:t>
      </w:r>
      <w:r>
        <w:rPr>
          <w:rFonts w:hint="eastAsia" w:ascii="CESI宋体-GB2312" w:hAnsi="仿宋_GB2312" w:eastAsia="仿宋_GB2312" w:cs="仿宋_GB2312"/>
          <w:sz w:val="32"/>
          <w:szCs w:val="32"/>
          <w:lang w:val="en-US" w:eastAsia="zh-CN"/>
        </w:rPr>
        <w:t>招标文件评审因素未量化，违反了</w:t>
      </w:r>
      <w:r>
        <w:rPr>
          <w:rFonts w:hint="eastAsia" w:ascii="CESI宋体-GB2312" w:hAnsi="仿宋_GB2312" w:eastAsia="仿宋_GB2312" w:cs="仿宋_GB2312"/>
          <w:sz w:val="32"/>
          <w:szCs w:val="32"/>
        </w:rPr>
        <w:t>《政府采购法实施条例》第三十</w:t>
      </w:r>
      <w:r>
        <w:rPr>
          <w:rFonts w:hint="eastAsia" w:ascii="CESI宋体-GB2312" w:hAnsi="仿宋_GB2312" w:eastAsia="仿宋_GB2312" w:cs="仿宋_GB2312"/>
          <w:sz w:val="32"/>
          <w:szCs w:val="32"/>
          <w:lang w:val="en-US" w:eastAsia="zh-CN"/>
        </w:rPr>
        <w:t>四</w:t>
      </w:r>
      <w:r>
        <w:rPr>
          <w:rFonts w:hint="eastAsia" w:ascii="CESI宋体-GB2312" w:hAnsi="仿宋_GB2312" w:eastAsia="仿宋_GB2312" w:cs="仿宋_GB2312"/>
          <w:sz w:val="32"/>
          <w:szCs w:val="32"/>
        </w:rPr>
        <w:t>条“</w:t>
      </w:r>
      <w:r>
        <w:rPr>
          <w:rFonts w:hint="eastAsia" w:ascii="CESI宋体-GB2312" w:hAnsi="仿宋_GB2312" w:eastAsia="仿宋_GB2312" w:cs="仿宋_GB2312"/>
          <w:sz w:val="32"/>
          <w:szCs w:val="32"/>
          <w:lang w:val="en-US" w:eastAsia="zh-CN"/>
        </w:rPr>
        <w:t>采用综合评分法的，评审标准中的分值设置应当与评审因素的量化指标相对应</w:t>
      </w:r>
      <w:r>
        <w:rPr>
          <w:rFonts w:hint="eastAsia" w:ascii="CESI宋体-GB2312" w:hAnsi="仿宋_GB2312" w:eastAsia="仿宋_GB2312" w:cs="仿宋_GB2312"/>
          <w:sz w:val="32"/>
          <w:szCs w:val="32"/>
        </w:rPr>
        <w:t>”的规定。</w:t>
      </w:r>
    </w:p>
    <w:p w14:paraId="65ABD6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楷体"/>
          <w:lang w:val="en-US" w:eastAsia="zh-CN"/>
        </w:rPr>
      </w:pP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rPr>
        <w:t>中标、成交公告信息不完整</w:t>
      </w:r>
      <w:r>
        <w:rPr>
          <w:rFonts w:hint="eastAsia" w:ascii="楷体" w:hAnsi="楷体" w:eastAsia="楷体" w:cs="楷体"/>
          <w:b w:val="0"/>
          <w:bCs w:val="0"/>
          <w:sz w:val="32"/>
          <w:szCs w:val="32"/>
          <w:lang w:eastAsia="zh-CN"/>
        </w:rPr>
        <w:t>。</w:t>
      </w:r>
      <w:r>
        <w:rPr>
          <w:rFonts w:hint="eastAsia" w:ascii="仿宋_GB2312" w:hAnsi="仿宋_GB2312" w:eastAsia="仿宋_GB2312" w:cs="仿宋_GB2312"/>
          <w:sz w:val="32"/>
          <w:szCs w:val="32"/>
        </w:rPr>
        <w:t>“</w:t>
      </w:r>
      <w:r>
        <w:rPr>
          <w:rFonts w:hint="eastAsia" w:ascii="CESI宋体-GB2312" w:hAnsi="仿宋_GB2312" w:eastAsia="仿宋_GB2312" w:cs="仿宋_GB2312"/>
          <w:sz w:val="32"/>
          <w:szCs w:val="32"/>
          <w:lang w:val="en-US" w:eastAsia="zh-CN"/>
        </w:rPr>
        <w:t>长白山职业技术学院护理系实训室建设项目</w:t>
      </w:r>
      <w:r>
        <w:rPr>
          <w:rFonts w:hint="eastAsia" w:ascii="仿宋_GB2312" w:hAnsi="仿宋_GB2312" w:eastAsia="仿宋_GB2312" w:cs="仿宋_GB2312"/>
          <w:sz w:val="32"/>
          <w:szCs w:val="32"/>
        </w:rPr>
        <w:t>”项目采购公告中未明确项目</w:t>
      </w:r>
      <w:r>
        <w:rPr>
          <w:rFonts w:hint="eastAsia" w:ascii="仿宋_GB2312" w:hAnsi="仿宋_GB2312" w:eastAsia="仿宋_GB2312" w:cs="仿宋_GB2312"/>
          <w:sz w:val="32"/>
          <w:szCs w:val="32"/>
          <w:lang w:val="en-US" w:eastAsia="zh-CN"/>
        </w:rPr>
        <w:t>付款方式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违反《政府采购货物和服务招标投标管理办法》（财政部令第87号）第20条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采购人或者采购代理机构应当根据采购项目的特点和采购需求编制招标文件。招标文件应当包括以下主要内容：（十）采购资金的支付方式、时间、条件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97B51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黑体" w:eastAsia="黑体" w:cs="黑体"/>
          <w:sz w:val="32"/>
          <w:szCs w:val="32"/>
        </w:rPr>
      </w:pPr>
      <w:r>
        <w:rPr>
          <w:rFonts w:hint="eastAsia" w:ascii="CESI宋体-GB2312" w:hAnsi="黑体" w:eastAsia="黑体" w:cs="黑体"/>
          <w:sz w:val="32"/>
          <w:szCs w:val="32"/>
          <w:lang w:val="en-US" w:eastAsia="zh-CN"/>
        </w:rPr>
        <w:t>二</w:t>
      </w:r>
      <w:r>
        <w:rPr>
          <w:rFonts w:hint="eastAsia" w:ascii="CESI宋体-GB2312" w:hAnsi="黑体" w:eastAsia="黑体" w:cs="黑体"/>
          <w:sz w:val="32"/>
          <w:szCs w:val="32"/>
        </w:rPr>
        <w:t>、处理结果</w:t>
      </w:r>
    </w:p>
    <w:p w14:paraId="1DB49C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宋体" w:eastAsia="仿宋_GB2312"/>
          <w:sz w:val="32"/>
          <w:szCs w:val="32"/>
        </w:rPr>
      </w:pPr>
      <w:r>
        <w:rPr>
          <w:rFonts w:hint="eastAsia" w:ascii="CESI宋体-GB2312" w:hAnsi="宋体" w:eastAsia="仿宋_GB2312"/>
          <w:sz w:val="32"/>
          <w:szCs w:val="32"/>
        </w:rPr>
        <w:t>按照《政府采购法》第七十一条、《政府采购法实施条例》第六十八条、《政府采购货物和服务招标投标管理办法》（财政部令第87号）第七十八条</w:t>
      </w:r>
      <w:r>
        <w:rPr>
          <w:rFonts w:hint="eastAsia" w:ascii="CESI宋体-GB2312" w:hAnsi="仿宋_GB2312" w:eastAsia="仿宋_GB2312" w:cs="仿宋_GB2312"/>
          <w:sz w:val="32"/>
          <w:szCs w:val="32"/>
        </w:rPr>
        <w:t>的要求</w:t>
      </w:r>
      <w:r>
        <w:rPr>
          <w:rFonts w:hint="eastAsia" w:ascii="CESI宋体-GB2312" w:hAnsi="宋体" w:eastAsia="仿宋_GB2312"/>
          <w:sz w:val="32"/>
          <w:szCs w:val="32"/>
        </w:rPr>
        <w:t>，现对你</w:t>
      </w:r>
      <w:r>
        <w:rPr>
          <w:rFonts w:hint="eastAsia" w:ascii="CESI宋体-GB2312" w:hAnsi="宋体" w:eastAsia="仿宋_GB2312"/>
          <w:sz w:val="32"/>
          <w:szCs w:val="32"/>
          <w:lang w:val="en-US" w:eastAsia="zh-CN"/>
        </w:rPr>
        <w:t>单位</w:t>
      </w:r>
      <w:r>
        <w:rPr>
          <w:rFonts w:hint="eastAsia" w:ascii="CESI宋体-GB2312" w:hAnsi="宋体" w:eastAsia="仿宋_GB2312"/>
          <w:sz w:val="32"/>
          <w:szCs w:val="32"/>
        </w:rPr>
        <w:t>作出责令整改的处理决定，请你</w:t>
      </w:r>
      <w:r>
        <w:rPr>
          <w:rFonts w:hint="eastAsia" w:ascii="CESI宋体-GB2312" w:hAnsi="宋体" w:eastAsia="仿宋_GB2312"/>
          <w:sz w:val="32"/>
          <w:szCs w:val="32"/>
          <w:lang w:val="en-US" w:eastAsia="zh-CN"/>
        </w:rPr>
        <w:t>单位</w:t>
      </w:r>
      <w:r>
        <w:rPr>
          <w:rFonts w:hint="eastAsia" w:ascii="CESI宋体-GB2312" w:hAnsi="宋体" w:eastAsia="仿宋_GB2312"/>
          <w:sz w:val="32"/>
          <w:szCs w:val="32"/>
        </w:rPr>
        <w:t>认真组织整改，确保在以后的政府采购项目代理过程中不发生此类问题，并在30日内将处理决定执行及整改落实情况以书面形式反馈我局。</w:t>
      </w:r>
    </w:p>
    <w:p w14:paraId="11157546">
      <w:pPr>
        <w:rPr>
          <w:rFonts w:hint="eastAsia" w:ascii="CESI宋体-GB2312" w:hAnsi="宋体" w:eastAsia="仿宋_GB2312"/>
          <w:sz w:val="32"/>
          <w:szCs w:val="32"/>
        </w:rPr>
        <w:sectPr>
          <w:footerReference r:id="rId3" w:type="default"/>
          <w:pgSz w:w="11906" w:h="16838"/>
          <w:pgMar w:top="2098" w:right="1474" w:bottom="2041" w:left="1587" w:header="851" w:footer="992" w:gutter="0"/>
          <w:pgNumType w:fmt="numberInDash" w:start="1"/>
          <w:cols w:space="720" w:num="1"/>
          <w:docGrid w:type="lines" w:linePitch="312" w:charSpace="0"/>
        </w:sectPr>
      </w:pPr>
    </w:p>
    <w:p w14:paraId="3884940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黑体" w:eastAsia="黑体" w:cs="黑体"/>
          <w:sz w:val="32"/>
          <w:szCs w:val="32"/>
        </w:rPr>
      </w:pPr>
      <w:r>
        <w:rPr>
          <w:rFonts w:hint="eastAsia" w:ascii="CESI宋体-GB2312" w:hAnsi="黑体" w:eastAsia="黑体" w:cs="黑体"/>
          <w:sz w:val="32"/>
          <w:szCs w:val="32"/>
          <w:lang w:val="en-US" w:eastAsia="zh-CN"/>
        </w:rPr>
        <w:t>三</w:t>
      </w:r>
      <w:r>
        <w:rPr>
          <w:rFonts w:hint="eastAsia" w:ascii="CESI宋体-GB2312" w:hAnsi="黑体" w:eastAsia="黑体" w:cs="黑体"/>
          <w:sz w:val="32"/>
          <w:szCs w:val="32"/>
        </w:rPr>
        <w:t>、其他事宜</w:t>
      </w:r>
    </w:p>
    <w:p w14:paraId="65D784B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宋体" w:eastAsia="仿宋_GB2312"/>
          <w:sz w:val="32"/>
          <w:szCs w:val="32"/>
        </w:rPr>
      </w:pPr>
      <w:r>
        <w:rPr>
          <w:rFonts w:hint="eastAsia" w:ascii="CESI宋体-GB2312" w:hAnsi="宋体" w:eastAsia="仿宋_GB2312"/>
          <w:sz w:val="32"/>
          <w:szCs w:val="32"/>
        </w:rPr>
        <w:t>根据《行政复议法》第二十条和《行政诉讼法》第四十四条、第四十六条的规定，你</w:t>
      </w:r>
      <w:r>
        <w:rPr>
          <w:rFonts w:hint="eastAsia" w:ascii="CESI宋体-GB2312" w:hAnsi="宋体" w:eastAsia="仿宋_GB2312"/>
          <w:sz w:val="32"/>
          <w:szCs w:val="32"/>
          <w:lang w:val="en-US" w:eastAsia="zh-CN"/>
        </w:rPr>
        <w:t>单位</w:t>
      </w:r>
      <w:r>
        <w:rPr>
          <w:rFonts w:hint="eastAsia" w:ascii="CESI宋体-GB2312" w:hAnsi="宋体" w:eastAsia="仿宋_GB2312"/>
          <w:sz w:val="32"/>
          <w:szCs w:val="32"/>
        </w:rPr>
        <w:t>对本处理决定如有异议，可在收到本处理决定之日起60日内向白山市人民政府申请行政复议；或在收到本处理决定之日起6个月内向白山市浑江区人民法院提起行政诉讼。除法律另有规定外，行政复议和行政诉讼期间，行政处理决定不停止执行。</w:t>
      </w:r>
    </w:p>
    <w:p w14:paraId="59FA05D6">
      <w:pPr>
        <w:ind w:firstLine="640"/>
        <w:rPr>
          <w:rFonts w:hint="eastAsia" w:ascii="CESI宋体-GB2312" w:hAnsi="宋体" w:eastAsia="仿宋_GB2312"/>
          <w:sz w:val="32"/>
          <w:szCs w:val="32"/>
        </w:rPr>
      </w:pPr>
    </w:p>
    <w:p w14:paraId="5DD8FE5F">
      <w:pPr>
        <w:pStyle w:val="2"/>
        <w:rPr>
          <w:rFonts w:hint="eastAsia"/>
        </w:rPr>
      </w:pPr>
    </w:p>
    <w:p w14:paraId="7B4F1074">
      <w:pPr>
        <w:ind w:firstLine="640"/>
        <w:rPr>
          <w:rFonts w:hint="eastAsia" w:ascii="CESI宋体-GB2312" w:hAnsi="宋体" w:eastAsia="仿宋_GB2312"/>
          <w:sz w:val="32"/>
          <w:szCs w:val="32"/>
        </w:rPr>
      </w:pPr>
    </w:p>
    <w:p w14:paraId="1C3DF258">
      <w:pPr>
        <w:ind w:firstLine="5446" w:firstLineChars="1702"/>
        <w:rPr>
          <w:rFonts w:hint="eastAsia" w:ascii="CESI宋体-GB2312" w:hAnsi="宋体" w:eastAsia="仿宋_GB2312"/>
          <w:sz w:val="32"/>
          <w:szCs w:val="32"/>
        </w:rPr>
      </w:pPr>
      <w:r>
        <w:rPr>
          <w:rFonts w:hint="eastAsia" w:ascii="CESI宋体-GB2312" w:hAnsi="宋体" w:eastAsia="仿宋_GB2312"/>
          <w:sz w:val="32"/>
          <w:szCs w:val="32"/>
        </w:rPr>
        <w:t>白山市财政局</w:t>
      </w:r>
      <w:bookmarkStart w:id="0" w:name="_GoBack"/>
      <w:bookmarkEnd w:id="0"/>
    </w:p>
    <w:p w14:paraId="09A53C72">
      <w:pPr>
        <w:ind w:firstLine="5286" w:firstLineChars="1652"/>
        <w:rPr>
          <w:rFonts w:hint="eastAsia" w:ascii="CESI宋体-GB2312" w:hAnsi="宋体" w:eastAsia="仿宋_GB2312"/>
          <w:sz w:val="32"/>
          <w:szCs w:val="32"/>
        </w:rPr>
      </w:pPr>
      <w:r>
        <w:rPr>
          <w:rFonts w:hint="eastAsia" w:ascii="CESI宋体-GB2312" w:hAnsi="宋体" w:eastAsia="仿宋_GB2312"/>
          <w:sz w:val="32"/>
          <w:szCs w:val="32"/>
        </w:rPr>
        <w:t>202</w:t>
      </w:r>
      <w:r>
        <w:rPr>
          <w:rFonts w:hint="eastAsia" w:ascii="CESI宋体-GB2312" w:hAnsi="宋体" w:eastAsia="仿宋_GB2312"/>
          <w:sz w:val="32"/>
          <w:szCs w:val="32"/>
          <w:lang w:val="en-US" w:eastAsia="zh-CN"/>
        </w:rPr>
        <w:t>5</w:t>
      </w:r>
      <w:r>
        <w:rPr>
          <w:rFonts w:hint="eastAsia" w:ascii="CESI宋体-GB2312" w:hAnsi="宋体" w:eastAsia="仿宋_GB2312"/>
          <w:sz w:val="32"/>
          <w:szCs w:val="32"/>
        </w:rPr>
        <w:t>年</w:t>
      </w:r>
      <w:r>
        <w:rPr>
          <w:rFonts w:hint="eastAsia" w:ascii="CESI宋体-GB2312" w:hAnsi="宋体" w:eastAsia="仿宋_GB2312"/>
          <w:sz w:val="32"/>
          <w:szCs w:val="32"/>
          <w:lang w:val="en-US" w:eastAsia="zh-CN"/>
        </w:rPr>
        <w:t>11</w:t>
      </w:r>
      <w:r>
        <w:rPr>
          <w:rFonts w:hint="eastAsia" w:ascii="CESI宋体-GB2312" w:hAnsi="宋体" w:eastAsia="仿宋_GB2312"/>
          <w:sz w:val="32"/>
          <w:szCs w:val="32"/>
        </w:rPr>
        <w:t>月</w:t>
      </w:r>
      <w:r>
        <w:rPr>
          <w:rFonts w:hint="eastAsia" w:ascii="CESI宋体-GB2312" w:hAnsi="宋体" w:eastAsia="仿宋_GB2312"/>
          <w:sz w:val="32"/>
          <w:szCs w:val="32"/>
          <w:lang w:val="en-US" w:eastAsia="zh-CN"/>
        </w:rPr>
        <w:t>14</w:t>
      </w:r>
      <w:r>
        <w:rPr>
          <w:rFonts w:hint="eastAsia" w:ascii="CESI宋体-GB2312" w:hAnsi="宋体" w:eastAsia="仿宋_GB2312"/>
          <w:sz w:val="32"/>
          <w:szCs w:val="32"/>
        </w:rPr>
        <w:t>日</w:t>
      </w:r>
    </w:p>
    <w:p w14:paraId="5073D28F">
      <w:pPr>
        <w:ind w:firstLine="5126" w:firstLineChars="1602"/>
        <w:rPr>
          <w:rFonts w:hint="eastAsia" w:ascii="CESI宋体-GB2312" w:hAnsi="宋体" w:eastAsia="仿宋_GB2312"/>
          <w:sz w:val="32"/>
          <w:szCs w:val="32"/>
        </w:rPr>
      </w:pPr>
    </w:p>
    <w:p w14:paraId="559F60F1">
      <w:pPr>
        <w:ind w:firstLine="5126" w:firstLineChars="1602"/>
        <w:rPr>
          <w:rFonts w:hint="eastAsia" w:ascii="CESI宋体-GB2312" w:hAnsi="宋体" w:eastAsia="仿宋_GB2312"/>
          <w:sz w:val="32"/>
          <w:szCs w:val="32"/>
        </w:rPr>
      </w:pPr>
    </w:p>
    <w:p w14:paraId="765BD3B2">
      <w:pPr>
        <w:ind w:firstLine="5126" w:firstLineChars="1602"/>
        <w:rPr>
          <w:rFonts w:hint="eastAsia" w:ascii="CESI宋体-GB2312" w:hAnsi="宋体" w:eastAsia="仿宋_GB2312"/>
          <w:sz w:val="32"/>
          <w:szCs w:val="32"/>
        </w:rPr>
      </w:pPr>
    </w:p>
    <w:p w14:paraId="2098168A">
      <w:pPr>
        <w:rPr>
          <w:rFonts w:hint="eastAsia" w:ascii="CESI宋体-GB2312" w:hAnsi="宋体" w:eastAsia="仿宋_GB2312"/>
          <w:sz w:val="32"/>
          <w:szCs w:val="32"/>
        </w:rPr>
      </w:pPr>
    </w:p>
    <w:p w14:paraId="332A5AAD">
      <w:pPr>
        <w:pStyle w:val="2"/>
        <w:rPr>
          <w:rFonts w:hint="eastAsia"/>
        </w:rPr>
      </w:pPr>
    </w:p>
    <w:p w14:paraId="056C6698">
      <w:pPr>
        <w:ind w:firstLine="5126" w:firstLineChars="1602"/>
        <w:rPr>
          <w:rFonts w:hint="eastAsia" w:ascii="CESI宋体-GB2312" w:hAnsi="宋体" w:eastAsia="仿宋_GB2312"/>
          <w:sz w:val="32"/>
          <w:szCs w:val="32"/>
        </w:rPr>
      </w:pPr>
    </w:p>
    <w:p w14:paraId="5853F170">
      <w:pPr>
        <w:ind w:firstLine="5126" w:firstLineChars="1602"/>
        <w:rPr>
          <w:rFonts w:hint="eastAsia" w:ascii="CESI宋体-GB2312" w:hAnsi="宋体" w:eastAsia="仿宋_GB2312"/>
          <w:sz w:val="32"/>
          <w:szCs w:val="32"/>
        </w:rPr>
      </w:pPr>
    </w:p>
    <w:p w14:paraId="19E535D1">
      <w:pPr>
        <w:keepNext w:val="0"/>
        <w:keepLines w:val="0"/>
        <w:pageBreakBefore w:val="0"/>
        <w:widowControl w:val="0"/>
        <w:kinsoku/>
        <w:wordWrap/>
        <w:overflowPunct/>
        <w:topLinePunct w:val="0"/>
        <w:autoSpaceDE/>
        <w:autoSpaceDN/>
        <w:bidi w:val="0"/>
        <w:adjustRightInd/>
        <w:snapToGrid/>
        <w:ind w:firstLine="0"/>
        <w:jc w:val="left"/>
        <w:textAlignment w:val="auto"/>
        <w:rPr>
          <w:rFonts w:ascii="CESI宋体-GB2312" w:hAnsi="宋体" w:eastAsia="仿宋"/>
          <w:sz w:val="28"/>
          <w:szCs w:val="28"/>
        </w:rPr>
      </w:pPr>
      <w:r>
        <w:rPr>
          <w:rFonts w:ascii="CESI宋体-GB2312" w:hAnsi="宋体"/>
        </w:rPr>
        <mc:AlternateContent>
          <mc:Choice Requires="wps">
            <w:drawing>
              <wp:anchor distT="0" distB="0" distL="113665" distR="113665" simplePos="0" relativeHeight="251659264" behindDoc="0" locked="0" layoutInCell="1" allowOverlap="1">
                <wp:simplePos x="0" y="0"/>
                <wp:positionH relativeFrom="margin">
                  <wp:posOffset>-92710</wp:posOffset>
                </wp:positionH>
                <wp:positionV relativeFrom="margin">
                  <wp:posOffset>7495540</wp:posOffset>
                </wp:positionV>
                <wp:extent cx="5562600" cy="9525"/>
                <wp:effectExtent l="0" t="0" r="0" b="0"/>
                <wp:wrapNone/>
                <wp:docPr id="4" name="直接连接符 3"/>
                <wp:cNvGraphicFramePr/>
                <a:graphic xmlns:a="http://schemas.openxmlformats.org/drawingml/2006/main">
                  <a:graphicData uri="http://schemas.microsoft.com/office/word/2010/wordprocessingShape">
                    <wps:wsp>
                      <wps:cNvCnPr/>
                      <wps:spPr>
                        <a:xfrm rot="21600000" flipV="1">
                          <a:off x="0" y="0"/>
                          <a:ext cx="5562599" cy="9525"/>
                        </a:xfrm>
                        <a:prstGeom prst="line">
                          <a:avLst/>
                        </a:prstGeom>
                        <a:noFill/>
                        <a:ln w="15875" cap="flat" cmpd="sng">
                          <a:solidFill>
                            <a:srgbClr val="000001"/>
                          </a:solidFill>
                          <a:prstDash val="solid"/>
                          <a:miter/>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7.3pt;margin-top:590.2pt;height:0.75pt;width:438pt;mso-position-horizontal-relative:margin;mso-position-vertical-relative:margin;z-index:251659264;mso-width-relative:page;mso-height-relative:page;" filled="f" stroked="t" coordsize="21600,21600" o:gfxdata="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YmxT9oAAAANAQAADwAAAAAAAAABACAAAAAiAAAAZHJzL2Rvd25y&#10;ZXYueG1sUEsBAhQAFAAAAAgAh07iQAhHaHM1AgAAQwQAAA4AAAAAAAAAAQAgAAAAKQEAAGRycy9l&#10;Mm9Eb2MueG1sUEsFBgAAAAAGAAYAWQEAANAFAAAAAA==&#10;">
                <v:fill on="f" focussize="0,0"/>
                <v:stroke weight="1.25pt" color="#000001" joinstyle="miter"/>
                <v:imagedata o:title=""/>
                <o:lock v:ext="edit" aspectratio="f"/>
              </v:line>
            </w:pict>
          </mc:Fallback>
        </mc:AlternateContent>
      </w:r>
      <w:r>
        <w:rPr>
          <w:rFonts w:hint="eastAsia" w:ascii="CESI宋体-GB2312" w:hAnsi="宋体" w:eastAsia="黑体"/>
          <w:sz w:val="28"/>
          <w:szCs w:val="28"/>
        </w:rPr>
        <w:t>信息公开选项</w:t>
      </w:r>
      <w:r>
        <w:rPr>
          <w:rFonts w:hint="eastAsia" w:ascii="CESI宋体-GB2312" w:hAnsi="宋体" w:eastAsia="仿宋"/>
          <w:sz w:val="28"/>
          <w:szCs w:val="28"/>
        </w:rPr>
        <w:t>：</w:t>
      </w:r>
      <w:r>
        <w:rPr>
          <w:rFonts w:hint="eastAsia" w:ascii="CESI宋体-GB2312" w:hAnsi="宋体" w:eastAsia="方正小标宋简体"/>
          <w:sz w:val="28"/>
          <w:szCs w:val="28"/>
          <w:lang w:eastAsia="zh-CN"/>
        </w:rPr>
        <w:t>主动公开</w:t>
      </w:r>
    </w:p>
    <w:p w14:paraId="6E0B59A9">
      <w:pPr>
        <w:keepNext w:val="0"/>
        <w:keepLines w:val="0"/>
        <w:pageBreakBefore w:val="0"/>
        <w:widowControl w:val="0"/>
        <w:kinsoku/>
        <w:wordWrap/>
        <w:overflowPunct/>
        <w:topLinePunct w:val="0"/>
        <w:autoSpaceDE/>
        <w:autoSpaceDN/>
        <w:bidi w:val="0"/>
        <w:adjustRightInd/>
        <w:snapToGrid/>
        <w:ind w:firstLine="0"/>
        <w:jc w:val="left"/>
        <w:textAlignment w:val="auto"/>
        <w:rPr>
          <w:rFonts w:hint="eastAsia" w:ascii="CESI宋体-GB2312" w:hAnsi="宋体" w:eastAsia="仿宋_GB2312" w:cs="仿宋_GB2312"/>
          <w:sz w:val="32"/>
          <w:szCs w:val="32"/>
          <w:lang w:val="en-US" w:eastAsia="zh-CN"/>
        </w:rPr>
      </w:pPr>
      <w:r>
        <w:rPr>
          <w:rFonts w:ascii="CESI宋体-GB2312" w:hAnsi="宋体"/>
        </w:rPr>
        <mc:AlternateContent>
          <mc:Choice Requires="wps">
            <w:drawing>
              <wp:anchor distT="0" distB="0" distL="113665" distR="113665" simplePos="0" relativeHeight="251659264" behindDoc="0" locked="0" layoutInCell="1" allowOverlap="1">
                <wp:simplePos x="0" y="0"/>
                <wp:positionH relativeFrom="margin">
                  <wp:posOffset>-92710</wp:posOffset>
                </wp:positionH>
                <wp:positionV relativeFrom="margin">
                  <wp:posOffset>7914640</wp:posOffset>
                </wp:positionV>
                <wp:extent cx="5562600" cy="9525"/>
                <wp:effectExtent l="0" t="0" r="0" b="0"/>
                <wp:wrapNone/>
                <wp:docPr id="6" name="直接连接符 2"/>
                <wp:cNvGraphicFramePr/>
                <a:graphic xmlns:a="http://schemas.openxmlformats.org/drawingml/2006/main">
                  <a:graphicData uri="http://schemas.microsoft.com/office/word/2010/wordprocessingShape">
                    <wps:wsp>
                      <wps:cNvCnPr/>
                      <wps:spPr>
                        <a:xfrm rot="21600000" flipV="1">
                          <a:off x="0" y="0"/>
                          <a:ext cx="5562599" cy="9524"/>
                        </a:xfrm>
                        <a:prstGeom prst="line">
                          <a:avLst/>
                        </a:prstGeom>
                        <a:noFill/>
                        <a:ln w="15875" cap="flat" cmpd="sng">
                          <a:solidFill>
                            <a:srgbClr val="000001"/>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flip:y;margin-left:-7.3pt;margin-top:623.2pt;height:0.75pt;width:438pt;mso-position-horizontal-relative:margin;mso-position-vertical-relative:margin;z-index:251659264;mso-width-relative:page;mso-height-relative:page;" filled="f" stroked="t" coordsize="21600,21600" o:gfxdata="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j+HfDbAAAADQEAAA8AAAAAAAAAAQAgAAAAIgAAAGRycy9kb3du&#10;cmV2LnhtbFBLAQIUABQAAAAIAIdO4kDCBctHNQIAAEMEAAAOAAAAAAAAAAEAIAAAACoBAABkcnMv&#10;ZTJvRG9jLnhtbFBLBQYAAAAABgAGAFkBAADRBQAAAAA=&#10;">
                <v:fill on="f" focussize="0,0"/>
                <v:stroke weight="1.25pt" color="#000001" joinstyle="miter"/>
                <v:imagedata o:title=""/>
                <o:lock v:ext="edit" aspectratio="f"/>
              </v:line>
            </w:pict>
          </mc:Fallback>
        </mc:AlternateContent>
      </w:r>
      <w:r>
        <w:rPr>
          <w:rFonts w:hint="eastAsia" w:ascii="CESI宋体-GB2312" w:hAnsi="宋体" w:eastAsia="仿宋"/>
          <w:sz w:val="28"/>
          <w:szCs w:val="28"/>
        </w:rPr>
        <w:t>白山市财政局</w:t>
      </w:r>
      <w:r>
        <w:rPr>
          <w:rFonts w:hint="eastAsia" w:ascii="CESI宋体-GB2312" w:hAnsi="宋体" w:eastAsia="仿宋"/>
          <w:sz w:val="28"/>
          <w:szCs w:val="28"/>
          <w:lang w:val="en-US" w:eastAsia="zh-CN"/>
        </w:rPr>
        <w:t xml:space="preserve">                            2025年11月14日</w:t>
      </w:r>
      <w:r>
        <w:rPr>
          <w:rFonts w:hint="eastAsia" w:ascii="CESI宋体-GB2312" w:hAnsi="宋体" w:eastAsia="仿宋"/>
          <w:sz w:val="28"/>
          <w:szCs w:val="28"/>
        </w:rPr>
        <w:t>印发</w:t>
      </w:r>
    </w:p>
    <w:sectPr>
      <w:headerReference r:id="rId4" w:type="default"/>
      <w:footerReference r:id="rId5" w:type="default"/>
      <w:pgSz w:w="11906" w:h="16838"/>
      <w:pgMar w:top="2098" w:right="1474" w:bottom="204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ESI宋体-GB2312">
    <w:altName w:val="宋体"/>
    <w:panose1 w:val="02000500000000000000"/>
    <w:charset w:val="86"/>
    <w:family w:val="script"/>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1B0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8F69C">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68F69C">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2110" cy="260985"/>
              <wp:effectExtent l="0" t="0" r="0" b="0"/>
              <wp:wrapNone/>
              <wp:docPr id="1" name="文本框 4"/>
              <wp:cNvGraphicFramePr/>
              <a:graphic xmlns:a="http://schemas.openxmlformats.org/drawingml/2006/main">
                <a:graphicData uri="http://schemas.microsoft.com/office/word/2010/wordprocessingShape">
                  <wps:wsp>
                    <wps:cNvSpPr/>
                    <wps:spPr>
                      <a:xfrm>
                        <a:off x="0" y="0"/>
                        <a:ext cx="372313" cy="261007"/>
                      </a:xfrm>
                      <a:prstGeom prst="rect">
                        <a:avLst/>
                      </a:prstGeom>
                      <a:noFill/>
                      <a:ln w="9525" cap="flat" cmpd="sng">
                        <a:noFill/>
                        <a:prstDash val="solid"/>
                        <a:round/>
                      </a:ln>
                    </wps:spPr>
                    <wps:txbx>
                      <w:txbxContent>
                        <w:p w14:paraId="4078DA8E">
                          <w:pPr>
                            <w:pStyle w:val="8"/>
                            <w:rPr>
                              <w:rFonts w:hint="eastAsia" w:ascii="宋体" w:hAnsi="宋体" w:cs="宋体"/>
                              <w:sz w:val="28"/>
                              <w:szCs w:val="28"/>
                              <w:lang w:val="en-US" w:eastAsia="zh-CN"/>
                            </w:rPr>
                          </w:pPr>
                        </w:p>
                        <w:p w14:paraId="5BF609B7">
                          <w:pPr>
                            <w:pStyle w:val="8"/>
                            <w:rPr>
                              <w:rFonts w:hint="eastAsia" w:ascii="宋体" w:hAnsi="宋体" w:cs="宋体"/>
                              <w:sz w:val="28"/>
                              <w:szCs w:val="28"/>
                              <w:lang w:val="en-US" w:eastAsia="zh-CN"/>
                            </w:rPr>
                          </w:pP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0.55pt;width:29.3pt;mso-position-horizontal:center;mso-position-horizontal-relative:margin;mso-wrap-style:none;z-index:251659264;mso-width-relative:page;mso-height-relative:page;" filled="f" stroked="f" coordsize="21600,21600" o:gfxdata="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ru9J0gAAAAMBAAAPAAAAAAAAAAEAIAAAACIAAABkcnMvZG93bnJl&#10;di54bWxQSwECFAAUAAAACACHTuJAkDUYIgMCAAD0AwAADgAAAAAAAAABACAAAAAhAQAAZHJzL2Uy&#10;b0RvYy54bWxQSwUGAAAAAAYABgBZAQAAlgUAAAAA&#10;">
              <v:fill on="f" focussize="0,0"/>
              <v:stroke on="f" joinstyle="round"/>
              <v:imagedata o:title=""/>
              <o:lock v:ext="edit" aspectratio="f"/>
              <v:textbox inset="0mm,0mm,0mm,0mm" style="mso-fit-shape-to-text:t;">
                <w:txbxContent>
                  <w:p w14:paraId="4078DA8E">
                    <w:pPr>
                      <w:pStyle w:val="8"/>
                      <w:rPr>
                        <w:rFonts w:hint="eastAsia" w:ascii="宋体" w:hAnsi="宋体" w:cs="宋体"/>
                        <w:sz w:val="28"/>
                        <w:szCs w:val="28"/>
                        <w:lang w:val="en-US" w:eastAsia="zh-CN"/>
                      </w:rPr>
                    </w:pPr>
                  </w:p>
                  <w:p w14:paraId="5BF609B7">
                    <w:pPr>
                      <w:pStyle w:val="8"/>
                      <w:rPr>
                        <w:rFonts w:hint="eastAsia" w:ascii="宋体" w:hAnsi="宋体" w:cs="宋体"/>
                        <w:sz w:val="28"/>
                        <w:szCs w:val="28"/>
                        <w:lang w:val="en-US"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3A7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93E3">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6B93E3">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2110" cy="260985"/>
              <wp:effectExtent l="0" t="0" r="0" b="0"/>
              <wp:wrapNone/>
              <wp:docPr id="7" name="文本框 4"/>
              <wp:cNvGraphicFramePr/>
              <a:graphic xmlns:a="http://schemas.openxmlformats.org/drawingml/2006/main">
                <a:graphicData uri="http://schemas.microsoft.com/office/word/2010/wordprocessingShape">
                  <wps:wsp>
                    <wps:cNvSpPr/>
                    <wps:spPr>
                      <a:xfrm>
                        <a:off x="0" y="0"/>
                        <a:ext cx="372313" cy="261007"/>
                      </a:xfrm>
                      <a:prstGeom prst="rect">
                        <a:avLst/>
                      </a:prstGeom>
                      <a:noFill/>
                      <a:ln w="9525" cap="flat" cmpd="sng">
                        <a:noFill/>
                        <a:prstDash val="solid"/>
                        <a:round/>
                      </a:ln>
                    </wps:spPr>
                    <wps:txbx>
                      <w:txbxContent>
                        <w:p w14:paraId="178AEB1E">
                          <w:pPr>
                            <w:pStyle w:val="8"/>
                            <w:rPr>
                              <w:rFonts w:hint="eastAsia" w:ascii="宋体" w:hAnsi="宋体" w:cs="宋体"/>
                              <w:sz w:val="28"/>
                              <w:szCs w:val="28"/>
                              <w:lang w:val="en-US" w:eastAsia="zh-CN"/>
                            </w:rPr>
                          </w:pPr>
                        </w:p>
                        <w:p w14:paraId="2854A10A">
                          <w:pPr>
                            <w:pStyle w:val="8"/>
                            <w:rPr>
                              <w:rFonts w:hint="eastAsia" w:ascii="宋体" w:hAnsi="宋体" w:cs="宋体"/>
                              <w:sz w:val="28"/>
                              <w:szCs w:val="28"/>
                              <w:lang w:val="en-US" w:eastAsia="zh-CN"/>
                            </w:rPr>
                          </w:pP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0.55pt;width:29.3pt;mso-position-horizontal:center;mso-position-horizontal-relative:margin;mso-wrap-style:none;z-index:251659264;mso-width-relative:page;mso-height-relative:page;" filled="f" stroked="f" coordsize="21600,21600" o:gfxdata="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K7vSdIAAAADAQAADwAAAAAAAAABACAAAAAiAAAAZHJzL2Rvd25y&#10;ZXYueG1sUEsBAhQAFAAAAAgAh07iQONWMNQEAgAA9AMAAA4AAAAAAAAAAQAgAAAAIQEAAGRycy9l&#10;Mm9Eb2MueG1sUEsFBgAAAAAGAAYAWQEAAJcFAAAAAA==&#10;">
              <v:fill on="f" focussize="0,0"/>
              <v:stroke on="f" joinstyle="round"/>
              <v:imagedata o:title=""/>
              <o:lock v:ext="edit" aspectratio="f"/>
              <v:textbox inset="0mm,0mm,0mm,0mm" style="mso-fit-shape-to-text:t;">
                <w:txbxContent>
                  <w:p w14:paraId="178AEB1E">
                    <w:pPr>
                      <w:pStyle w:val="8"/>
                      <w:rPr>
                        <w:rFonts w:hint="eastAsia" w:ascii="宋体" w:hAnsi="宋体" w:cs="宋体"/>
                        <w:sz w:val="28"/>
                        <w:szCs w:val="28"/>
                        <w:lang w:val="en-US" w:eastAsia="zh-CN"/>
                      </w:rPr>
                    </w:pPr>
                  </w:p>
                  <w:p w14:paraId="2854A10A">
                    <w:pPr>
                      <w:pStyle w:val="8"/>
                      <w:rPr>
                        <w:rFonts w:hint="eastAsia" w:ascii="宋体" w:hAnsi="宋体" w:cs="宋体"/>
                        <w:sz w:val="28"/>
                        <w:szCs w:val="28"/>
                        <w:lang w:val="en-US"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B63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736D2"/>
    <w:multiLevelType w:val="singleLevel"/>
    <w:tmpl w:val="AF3736D2"/>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TZmZGM2YzUxYjM0YWExMTJjZDkwM2NmZmE0N2FhYTQifQ=="/>
  </w:docVars>
  <w:rsids>
    <w:rsidRoot w:val="00000000"/>
    <w:rsid w:val="0B287FDA"/>
    <w:rsid w:val="11D06A43"/>
    <w:rsid w:val="239253EC"/>
    <w:rsid w:val="307B3A5B"/>
    <w:rsid w:val="38697237"/>
    <w:rsid w:val="3E6B713A"/>
    <w:rsid w:val="4256095E"/>
    <w:rsid w:val="49F92525"/>
    <w:rsid w:val="717A2FBC"/>
    <w:rsid w:val="736D33EC"/>
    <w:rsid w:val="78087229"/>
    <w:rsid w:val="7D8E32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500" w:lineRule="exact"/>
    </w:pPr>
    <w:rPr>
      <w:sz w:val="24"/>
    </w:rPr>
  </w:style>
  <w:style w:type="paragraph" w:customStyle="1" w:styleId="3">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7">
    <w:name w:val="Body Text Indent"/>
    <w:basedOn w:val="1"/>
    <w:autoRedefine/>
    <w:qFormat/>
    <w:uiPriority w:val="0"/>
    <w:pPr>
      <w:ind w:firstLine="795"/>
    </w:pPr>
    <w:rPr>
      <w:sz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0">
    <w:name w:val="Body Text First Indent"/>
    <w:basedOn w:val="2"/>
    <w:next w:val="1"/>
    <w:autoRedefine/>
    <w:qFormat/>
    <w:uiPriority w:val="0"/>
    <w:pPr>
      <w:spacing w:line="360" w:lineRule="auto"/>
      <w:ind w:firstLine="200" w:firstLineChars="200"/>
    </w:pPr>
    <w:rPr>
      <w:rFonts w:ascii="宋体"/>
      <w:kern w:val="24"/>
      <w:sz w:val="24"/>
      <w:szCs w:val="20"/>
    </w:rPr>
  </w:style>
  <w:style w:type="paragraph" w:styleId="11">
    <w:name w:val="Body Text First Indent 2"/>
    <w:basedOn w:val="7"/>
    <w:autoRedefine/>
    <w:qFormat/>
    <w:uiPriority w:val="0"/>
    <w:pPr>
      <w:ind w:firstLine="420"/>
    </w:pPr>
    <w:rPr>
      <w:szCs w:val="20"/>
    </w:rPr>
  </w:style>
  <w:style w:type="character" w:styleId="14">
    <w:name w:val="page number"/>
    <w:basedOn w:val="13"/>
    <w:autoRedefine/>
    <w:qFormat/>
    <w:uiPriority w:val="0"/>
  </w:style>
  <w:style w:type="character" w:styleId="15">
    <w:name w:val="Emphasis"/>
    <w:basedOn w:val="13"/>
    <w:autoRedefine/>
    <w:qFormat/>
    <w:uiPriority w:val="0"/>
    <w:rPr>
      <w:i/>
    </w:rPr>
  </w:style>
  <w:style w:type="paragraph" w:customStyle="1" w:styleId="16">
    <w:name w:val="Char Char Char"/>
    <w:basedOn w:val="1"/>
    <w:autoRedefine/>
    <w:qFormat/>
    <w:uiPriority w:val="0"/>
    <w:pPr>
      <w:widowControl/>
      <w:spacing w:after="160" w:line="240" w:lineRule="exact"/>
      <w:jc w:val="left"/>
    </w:pPr>
    <w:rPr>
      <w:rFonts w:ascii="Arial" w:hAnsi="Arial" w:eastAsia="Times New Roman" w:cs="Verdana"/>
      <w:b/>
      <w:kern w:val="0"/>
      <w:sz w:val="24"/>
    </w:rPr>
  </w:style>
  <w:style w:type="paragraph" w:customStyle="1" w:styleId="17">
    <w:name w:val="p0"/>
    <w:next w:val="8"/>
    <w:autoRedefine/>
    <w:qFormat/>
    <w:uiPriority w:val="0"/>
    <w:pPr>
      <w:jc w:val="both"/>
    </w:pPr>
    <w:rPr>
      <w:rFonts w:ascii="Times New Roman" w:hAnsi="Times New Roman" w:eastAsia="宋体" w:cs="Times New Roman"/>
      <w:sz w:val="21"/>
      <w:szCs w:val="21"/>
      <w:lang w:val="en-US" w:eastAsia="zh-CN" w:bidi="ar-SA"/>
    </w:rPr>
  </w:style>
  <w:style w:type="paragraph" w:customStyle="1" w:styleId="18">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custom_unionsty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808D5-331E-4D30-95AB-1362D811128A}">
  <ds:schemaRefs/>
</ds:datastoreItem>
</file>

<file path=docProps/app.xml><?xml version="1.0" encoding="utf-8"?>
<Properties xmlns="http://schemas.openxmlformats.org/officeDocument/2006/extended-properties" xmlns:vt="http://schemas.openxmlformats.org/officeDocument/2006/docPropsVTypes">
  <Template>Normal.eit</Template>
  <Pages>3</Pages>
  <Words>1018</Words>
  <Characters>1044</Characters>
  <Lines>0</Lines>
  <Paragraphs>27</Paragraphs>
  <TotalTime>60</TotalTime>
  <ScaleCrop>false</ScaleCrop>
  <LinksUpToDate>false</LinksUpToDate>
  <CharactersWithSpaces>1073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2023-03-22T01:10:00Z</dcterms:created>
  <dc:creator>inspur</dc:creator>
  <cp:lastModifiedBy>Mercurius.</cp:lastModifiedBy>
  <cp:lastPrinted>2025-11-17T01:30:40Z</cp:lastPrinted>
  <dcterms:modified xsi:type="dcterms:W3CDTF">2025-11-17T02:14:55Z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D8787D1E69F8408E9BA4C9782F297446_13</vt:lpwstr>
  </property>
  <property fmtid="{D5CDD505-2E9C-101B-9397-08002B2CF9AE}" pid="4" name="KSOTemplateDocerSaveRecord">
    <vt:lpwstr>eyJoZGlkIjoiOWVkZDBmYzY5NmQyNzdjNGRjYzYwZDc0MmQ4OWFjNTUiLCJ1c2VySWQiOiIxMTIzNjg3NjIyIn0=</vt:lpwstr>
  </property>
</Properties>
</file>