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499D7">
      <w:pPr>
        <w:jc w:val="left"/>
        <w:rPr>
          <w:rFonts w:ascii="黑体" w:hAnsi="黑体" w:eastAsia="黑体"/>
          <w:sz w:val="24"/>
        </w:rPr>
      </w:pPr>
    </w:p>
    <w:p w14:paraId="4128D34C">
      <w:pPr>
        <w:jc w:val="left"/>
        <w:rPr>
          <w:rFonts w:ascii="黑体" w:hAnsi="黑体" w:eastAsia="黑体"/>
          <w:sz w:val="32"/>
          <w:szCs w:val="32"/>
        </w:rPr>
      </w:pPr>
    </w:p>
    <w:p w14:paraId="6A2D7D67">
      <w:pPr>
        <w:jc w:val="left"/>
        <w:rPr>
          <w:rFonts w:ascii="黑体" w:hAnsi="黑体" w:eastAsia="黑体"/>
          <w:sz w:val="56"/>
          <w:szCs w:val="56"/>
        </w:rPr>
      </w:pPr>
    </w:p>
    <w:p w14:paraId="4753F878"/>
    <w:p w14:paraId="610488A3">
      <w:pPr>
        <w:rPr>
          <w:rFonts w:ascii="仿宋" w:hAnsi="仿宋" w:eastAsia="仿宋"/>
          <w:sz w:val="32"/>
          <w:szCs w:val="32"/>
        </w:rPr>
      </w:pPr>
    </w:p>
    <w:p w14:paraId="16B4834F">
      <w:pPr>
        <w:rPr>
          <w:rFonts w:ascii="仿宋" w:hAnsi="仿宋" w:eastAsia="仿宋"/>
          <w:sz w:val="32"/>
          <w:szCs w:val="32"/>
        </w:rPr>
      </w:pPr>
    </w:p>
    <w:p w14:paraId="34442444">
      <w:pPr>
        <w:spacing w:line="400" w:lineRule="exact"/>
        <w:jc w:val="center"/>
        <w:rPr>
          <w:rFonts w:ascii="仿宋" w:hAnsi="仿宋" w:eastAsia="仿宋"/>
          <w:sz w:val="32"/>
          <w:szCs w:val="32"/>
        </w:rPr>
      </w:pPr>
    </w:p>
    <w:p w14:paraId="3FEF0888">
      <w:pPr>
        <w:spacing w:line="500" w:lineRule="exact"/>
        <w:jc w:val="center"/>
        <w:rPr>
          <w:rFonts w:ascii="仿宋" w:hAnsi="仿宋" w:eastAsia="仿宋"/>
          <w:sz w:val="32"/>
          <w:szCs w:val="32"/>
        </w:rPr>
      </w:pPr>
    </w:p>
    <w:p w14:paraId="10EF8778">
      <w:pPr>
        <w:pStyle w:val="13"/>
        <w:spacing w:line="579" w:lineRule="exact"/>
        <w:jc w:val="center"/>
        <w:rPr>
          <w:rFonts w:cs="仿宋_GB2312" w:asciiTheme="majorEastAsia" w:hAnsiTheme="majorEastAsia" w:eastAsiaTheme="majorEastAsia"/>
          <w:b/>
          <w:bCs/>
          <w:color w:val="000000"/>
          <w:sz w:val="44"/>
          <w:szCs w:val="44"/>
          <w:lang w:val="zh-CN"/>
        </w:rPr>
      </w:pPr>
      <w:r>
        <w:rPr>
          <w:rFonts w:hint="eastAsia" w:cs="仿宋_GB2312" w:asciiTheme="majorEastAsia" w:hAnsiTheme="majorEastAsia" w:eastAsiaTheme="majorEastAsia"/>
          <w:sz w:val="32"/>
          <w:szCs w:val="32"/>
        </w:rPr>
        <w:t>白山财采购〔</w:t>
      </w:r>
      <w:r>
        <w:rPr>
          <w:rFonts w:cs="仿宋_GB2312" w:asciiTheme="majorEastAsia" w:hAnsiTheme="majorEastAsia" w:eastAsiaTheme="majorEastAsia"/>
          <w:sz w:val="32"/>
          <w:szCs w:val="32"/>
        </w:rPr>
        <w:t>202</w:t>
      </w:r>
      <w:r>
        <w:rPr>
          <w:rFonts w:hint="eastAsia" w:cs="仿宋_GB2312" w:asciiTheme="majorEastAsia" w:hAnsiTheme="majorEastAsia" w:eastAsiaTheme="majorEastAsia"/>
          <w:sz w:val="32"/>
          <w:szCs w:val="32"/>
          <w:lang w:val="en-US" w:eastAsia="zh-CN"/>
        </w:rPr>
        <w:t>6</w:t>
      </w:r>
      <w:r>
        <w:rPr>
          <w:rFonts w:hint="eastAsia" w:cs="仿宋_GB2312" w:asciiTheme="majorEastAsia" w:hAnsiTheme="majorEastAsia" w:eastAsiaTheme="majorEastAsia"/>
          <w:sz w:val="32"/>
          <w:szCs w:val="32"/>
        </w:rPr>
        <w:t>〕</w:t>
      </w:r>
      <w:r>
        <w:rPr>
          <w:rFonts w:hint="eastAsia" w:asciiTheme="majorEastAsia" w:hAnsiTheme="majorEastAsia" w:eastAsiaTheme="majorEastAsia"/>
          <w:sz w:val="32"/>
          <w:szCs w:val="32"/>
          <w:lang w:val="en-US" w:eastAsia="zh-CN"/>
        </w:rPr>
        <w:t>85</w:t>
      </w:r>
      <w:r>
        <w:rPr>
          <w:rFonts w:hint="eastAsia" w:cs="仿宋_GB2312" w:asciiTheme="majorEastAsia" w:hAnsiTheme="majorEastAsia" w:eastAsiaTheme="majorEastAsia"/>
          <w:sz w:val="32"/>
          <w:szCs w:val="32"/>
        </w:rPr>
        <w:t>号</w:t>
      </w:r>
    </w:p>
    <w:p w14:paraId="389FBE4D">
      <w:pPr>
        <w:pStyle w:val="13"/>
        <w:spacing w:line="579" w:lineRule="exact"/>
        <w:jc w:val="center"/>
        <w:rPr>
          <w:rFonts w:cs="宋体" w:asciiTheme="majorEastAsia" w:hAnsiTheme="majorEastAsia" w:eastAsiaTheme="majorEastAsia"/>
          <w:b/>
          <w:bCs/>
          <w:color w:val="000000"/>
          <w:sz w:val="24"/>
          <w:szCs w:val="24"/>
          <w:lang w:val="zh-CN"/>
        </w:rPr>
      </w:pPr>
      <w:bookmarkStart w:id="0" w:name="_GoBack"/>
      <w:bookmarkEnd w:id="0"/>
    </w:p>
    <w:p w14:paraId="3205DBF3">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center"/>
        <w:textAlignment w:val="auto"/>
        <w:rPr>
          <w:rFonts w:hint="default" w:ascii="CESI宋体-GB2312" w:hAnsi="CESI宋体-GB2312" w:eastAsia="方正小标宋简体" w:cs="方正小标宋简体"/>
          <w:b w:val="0"/>
          <w:bCs w:val="0"/>
          <w:i w:val="0"/>
          <w:caps w:val="0"/>
          <w:smallCaps w:val="0"/>
          <w:color w:val="auto"/>
          <w:spacing w:val="0"/>
          <w:kern w:val="0"/>
          <w:sz w:val="44"/>
          <w:szCs w:val="44"/>
          <w:lang w:val="en-US" w:eastAsia="zh-CN"/>
        </w:rPr>
      </w:pPr>
      <w:r>
        <w:rPr>
          <w:rFonts w:hint="eastAsia" w:ascii="CESI宋体-GB2312" w:hAnsi="CESI宋体-GB2312" w:eastAsia="方正小标宋简体" w:cs="方正小标宋简体"/>
          <w:b w:val="0"/>
          <w:bCs w:val="0"/>
          <w:i w:val="0"/>
          <w:caps w:val="0"/>
          <w:smallCaps w:val="0"/>
          <w:color w:val="auto"/>
          <w:spacing w:val="0"/>
          <w:kern w:val="0"/>
          <w:sz w:val="44"/>
          <w:szCs w:val="44"/>
          <w:lang w:val="en-US" w:eastAsia="zh-CN"/>
        </w:rPr>
        <w:t>白山市本级政府采购投诉处理决定书（2026年6号）</w:t>
      </w:r>
    </w:p>
    <w:p w14:paraId="25BAAD56">
      <w:pPr>
        <w:ind w:firstLine="440" w:firstLineChars="100"/>
        <w:jc w:val="center"/>
        <w:rPr>
          <w:rFonts w:hint="eastAsia" w:ascii="CESI宋体-GB2312" w:hAnsi="CESI宋体-GB2312" w:eastAsia="方正小标宋简体" w:cs="方正小标宋简体"/>
          <w:b w:val="0"/>
          <w:bCs w:val="0"/>
          <w:i w:val="0"/>
          <w:caps w:val="0"/>
          <w:smallCaps w:val="0"/>
          <w:color w:val="auto"/>
          <w:spacing w:val="0"/>
          <w:kern w:val="0"/>
          <w:sz w:val="44"/>
          <w:szCs w:val="44"/>
          <w:lang w:val="en-US" w:eastAsia="zh-CN"/>
        </w:rPr>
      </w:pPr>
    </w:p>
    <w:p w14:paraId="7C549756">
      <w:pPr>
        <w:numPr>
          <w:ilvl w:val="0"/>
          <w:numId w:val="1"/>
        </w:numPr>
        <w:spacing w:line="560" w:lineRule="exact"/>
        <w:ind w:firstLine="640" w:firstLineChars="200"/>
        <w:rPr>
          <w:rFonts w:hint="eastAsia" w:ascii="CESI宋体-GB2312" w:hAnsi="CESI宋体-GB2312" w:eastAsia="黑体" w:cs="黑体"/>
          <w:color w:val="auto"/>
          <w:sz w:val="32"/>
          <w:szCs w:val="32"/>
        </w:rPr>
      </w:pPr>
      <w:r>
        <w:rPr>
          <w:rFonts w:hint="eastAsia" w:ascii="CESI宋体-GB2312" w:hAnsi="CESI宋体-GB2312" w:eastAsia="黑体" w:cs="黑体"/>
          <w:color w:val="auto"/>
          <w:sz w:val="32"/>
          <w:szCs w:val="32"/>
        </w:rPr>
        <w:t>项目名称</w:t>
      </w:r>
    </w:p>
    <w:p w14:paraId="262AF7A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白山市康宁医院公立医院改革与高质量发展重点专科能力提升项目（一期）</w:t>
      </w:r>
      <w:r>
        <w:rPr>
          <w:rFonts w:hint="eastAsia" w:ascii="仿宋" w:hAnsi="仿宋" w:eastAsia="仿宋" w:cs="仿宋"/>
          <w:color w:val="auto"/>
          <w:sz w:val="32"/>
          <w:szCs w:val="32"/>
        </w:rPr>
        <w:t>（项目编号：</w:t>
      </w:r>
      <w:r>
        <w:rPr>
          <w:rFonts w:hint="eastAsia" w:ascii="仿宋" w:hAnsi="仿宋" w:eastAsia="仿宋" w:cs="仿宋"/>
          <w:color w:val="auto"/>
          <w:sz w:val="32"/>
          <w:szCs w:val="32"/>
          <w:lang w:val="en-US" w:eastAsia="zh-CN"/>
        </w:rPr>
        <w:t>BSZFCG-2025-ZB-008</w:t>
      </w:r>
      <w:r>
        <w:rPr>
          <w:rFonts w:hint="eastAsia" w:ascii="仿宋" w:hAnsi="仿宋" w:eastAsia="仿宋" w:cs="仿宋"/>
          <w:color w:val="auto"/>
          <w:sz w:val="32"/>
          <w:szCs w:val="32"/>
        </w:rPr>
        <w:t>）</w:t>
      </w:r>
    </w:p>
    <w:p w14:paraId="69F302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宋体-GB2312" w:hAnsi="CESI宋体-GB2312" w:eastAsia="黑体" w:cs="黑体"/>
          <w:b w:val="0"/>
          <w:bCs w:val="0"/>
          <w:color w:val="auto"/>
          <w:sz w:val="32"/>
          <w:szCs w:val="32"/>
        </w:rPr>
      </w:pPr>
      <w:r>
        <w:rPr>
          <w:rFonts w:hint="eastAsia" w:ascii="CESI宋体-GB2312" w:hAnsi="CESI宋体-GB2312" w:eastAsia="黑体" w:cs="黑体"/>
          <w:b w:val="0"/>
          <w:bCs w:val="0"/>
          <w:color w:val="auto"/>
          <w:sz w:val="32"/>
          <w:szCs w:val="32"/>
          <w:lang w:eastAsia="zh-CN"/>
        </w:rPr>
        <w:t>二</w:t>
      </w:r>
      <w:r>
        <w:rPr>
          <w:rFonts w:hint="eastAsia" w:ascii="CESI宋体-GB2312" w:hAnsi="CESI宋体-GB2312" w:eastAsia="黑体" w:cs="黑体"/>
          <w:b w:val="0"/>
          <w:bCs w:val="0"/>
          <w:color w:val="auto"/>
          <w:sz w:val="32"/>
          <w:szCs w:val="32"/>
        </w:rPr>
        <w:t>、</w:t>
      </w:r>
      <w:r>
        <w:rPr>
          <w:rFonts w:hint="eastAsia" w:ascii="CESI宋体-GB2312" w:hAnsi="CESI宋体-GB2312" w:eastAsia="黑体" w:cs="黑体"/>
          <w:color w:val="auto"/>
          <w:sz w:val="32"/>
          <w:szCs w:val="32"/>
        </w:rPr>
        <w:t>相关当事人</w:t>
      </w:r>
    </w:p>
    <w:p w14:paraId="70346FC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投诉人：</w:t>
      </w:r>
      <w:r>
        <w:rPr>
          <w:rFonts w:hint="eastAsia" w:ascii="仿宋" w:hAnsi="仿宋" w:eastAsia="仿宋" w:cs="仿宋"/>
          <w:color w:val="auto"/>
          <w:sz w:val="32"/>
          <w:szCs w:val="32"/>
          <w:lang w:val="en-US" w:eastAsia="zh-CN"/>
        </w:rPr>
        <w:t>吉林省吉康优质科技有限公司</w:t>
      </w:r>
    </w:p>
    <w:p w14:paraId="7B11292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val="en-US" w:eastAsia="zh-CN"/>
        </w:rPr>
        <w:t xml:space="preserve">长春市宽城区万龙台北明珠 A3a 幢 0 单元 109 </w:t>
      </w:r>
    </w:p>
    <w:p w14:paraId="59CB216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号房</w:t>
      </w:r>
    </w:p>
    <w:p w14:paraId="49BB3D1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被投诉人</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白山市公共资源交易中心</w:t>
      </w:r>
    </w:p>
    <w:p w14:paraId="218FF7C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val="en-US" w:eastAsia="zh-CN"/>
        </w:rPr>
        <w:t>白山市浑江区通江路67号</w:t>
      </w:r>
    </w:p>
    <w:p w14:paraId="05429FA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宋体-GB2312" w:hAnsi="CESI宋体-GB2312" w:eastAsia="黑体" w:cs="黑体"/>
          <w:color w:val="auto"/>
          <w:sz w:val="32"/>
          <w:szCs w:val="32"/>
        </w:rPr>
      </w:pPr>
      <w:r>
        <w:rPr>
          <w:rFonts w:hint="eastAsia" w:ascii="CESI宋体-GB2312" w:hAnsi="CESI宋体-GB2312" w:eastAsia="黑体" w:cs="黑体"/>
          <w:color w:val="auto"/>
          <w:sz w:val="32"/>
          <w:szCs w:val="32"/>
        </w:rPr>
        <w:t>三、基本情况</w:t>
      </w:r>
    </w:p>
    <w:p w14:paraId="7468CED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eastAsia="zh-CN"/>
        </w:rPr>
        <w:t>中标结果公告</w:t>
      </w:r>
      <w:r>
        <w:rPr>
          <w:rFonts w:hint="eastAsia" w:ascii="仿宋" w:hAnsi="仿宋" w:eastAsia="仿宋" w:cs="仿宋"/>
          <w:color w:val="auto"/>
          <w:kern w:val="2"/>
          <w:sz w:val="32"/>
          <w:szCs w:val="32"/>
        </w:rPr>
        <w:t>日期：</w:t>
      </w:r>
      <w:r>
        <w:rPr>
          <w:rFonts w:hint="eastAsia" w:ascii="仿宋" w:hAnsi="仿宋" w:eastAsia="仿宋" w:cs="仿宋"/>
          <w:color w:val="auto"/>
          <w:kern w:val="2"/>
          <w:sz w:val="32"/>
          <w:szCs w:val="32"/>
          <w:lang w:val="en-US" w:eastAsia="zh-CN"/>
        </w:rPr>
        <w:t>2026年2月12日</w:t>
      </w:r>
    </w:p>
    <w:p w14:paraId="373D2C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rPr>
        <w:t>质疑</w:t>
      </w:r>
      <w:r>
        <w:rPr>
          <w:rFonts w:hint="eastAsia" w:ascii="仿宋" w:hAnsi="仿宋" w:eastAsia="仿宋" w:cs="仿宋"/>
          <w:color w:val="auto"/>
          <w:kern w:val="2"/>
          <w:sz w:val="32"/>
          <w:szCs w:val="32"/>
          <w:lang w:val="en-US" w:eastAsia="zh-CN"/>
        </w:rPr>
        <w:t>受理</w:t>
      </w:r>
      <w:r>
        <w:rPr>
          <w:rFonts w:hint="eastAsia" w:ascii="仿宋" w:hAnsi="仿宋" w:eastAsia="仿宋" w:cs="仿宋"/>
          <w:color w:val="auto"/>
          <w:kern w:val="2"/>
          <w:sz w:val="32"/>
          <w:szCs w:val="32"/>
        </w:rPr>
        <w:t>时间：</w:t>
      </w:r>
      <w:r>
        <w:rPr>
          <w:rFonts w:hint="eastAsia" w:ascii="仿宋" w:hAnsi="仿宋" w:eastAsia="仿宋" w:cs="仿宋"/>
          <w:color w:val="auto"/>
          <w:kern w:val="2"/>
          <w:sz w:val="32"/>
          <w:szCs w:val="32"/>
          <w:lang w:val="en-US" w:eastAsia="zh-CN"/>
        </w:rPr>
        <w:t>2026年2月14日</w:t>
      </w:r>
    </w:p>
    <w:p w14:paraId="380749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rPr>
        <w:t>质疑答复时间：</w:t>
      </w:r>
      <w:r>
        <w:rPr>
          <w:rFonts w:hint="eastAsia" w:ascii="仿宋" w:hAnsi="仿宋" w:eastAsia="仿宋" w:cs="仿宋"/>
          <w:color w:val="auto"/>
          <w:kern w:val="2"/>
          <w:sz w:val="32"/>
          <w:szCs w:val="32"/>
          <w:lang w:val="en-US" w:eastAsia="zh-CN"/>
        </w:rPr>
        <w:t>2026年2月25日</w:t>
      </w:r>
    </w:p>
    <w:p w14:paraId="6D1189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rPr>
        <w:t>投诉受理时间：</w:t>
      </w:r>
      <w:r>
        <w:rPr>
          <w:rFonts w:hint="eastAsia" w:ascii="仿宋" w:hAnsi="仿宋" w:eastAsia="仿宋" w:cs="仿宋"/>
          <w:color w:val="auto"/>
          <w:kern w:val="2"/>
          <w:sz w:val="32"/>
          <w:szCs w:val="32"/>
          <w:lang w:val="en-US" w:eastAsia="zh-CN"/>
        </w:rPr>
        <w:t>2026年2月26日</w:t>
      </w:r>
    </w:p>
    <w:p w14:paraId="65C377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投诉事项：</w:t>
      </w:r>
    </w:p>
    <w:p w14:paraId="1C500F4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1、白山市公共资源交易中心(白山市政府采购中心)关于白山市康宁医院公立医院改革与高质量发展重点专科能力提升项目(一期)一标段更正公告。结果公告中未公布中标标的全部产品的名称、规格型号、数量、单价、核心技术参数等关键内容。</w:t>
      </w:r>
    </w:p>
    <w:p w14:paraId="6C4C03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2、</w:t>
      </w:r>
      <w:r>
        <w:rPr>
          <w:rFonts w:hint="eastAsia" w:ascii="仿宋" w:hAnsi="仿宋" w:eastAsia="仿宋" w:cs="仿宋"/>
          <w:color w:val="auto"/>
          <w:kern w:val="2"/>
          <w:sz w:val="32"/>
          <w:szCs w:val="32"/>
        </w:rPr>
        <w:t>白山市公共资源交易中心(白山市政府采购中心)回复函未对我方回复内容空洞，无事实与法条支撑，回避核心问题，属于敷衍答复。全部质疑点未逐一做出明确、合法、有据的书面回复。</w:t>
      </w:r>
    </w:p>
    <w:p w14:paraId="64BA18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投诉请求：</w:t>
      </w:r>
    </w:p>
    <w:p w14:paraId="0A8FF30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撤销原敷衍答复，对我方全部质疑点逐一作出明确，合法，有据的书面答复。</w:t>
      </w:r>
    </w:p>
    <w:p w14:paraId="293AD11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立即补充发布本项目全部中标产品的所有详细规格型号、核心技术参数及其他与中标结果相关的完整信息。</w:t>
      </w:r>
    </w:p>
    <w:p w14:paraId="27E011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宋体-GB2312" w:hAnsi="CESI宋体-GB2312" w:eastAsia="黑体" w:cs="黑体"/>
          <w:b w:val="0"/>
          <w:bCs w:val="0"/>
          <w:color w:val="auto"/>
          <w:sz w:val="32"/>
          <w:szCs w:val="32"/>
          <w:lang w:eastAsia="zh-CN"/>
        </w:rPr>
      </w:pPr>
      <w:r>
        <w:rPr>
          <w:rFonts w:hint="eastAsia" w:ascii="CESI宋体-GB2312" w:hAnsi="CESI宋体-GB2312" w:eastAsia="黑体" w:cs="黑体"/>
          <w:color w:val="auto"/>
          <w:sz w:val="32"/>
          <w:szCs w:val="32"/>
          <w:lang w:eastAsia="zh-CN"/>
        </w:rPr>
        <w:t>四</w:t>
      </w:r>
      <w:r>
        <w:rPr>
          <w:rFonts w:hint="eastAsia" w:ascii="CESI宋体-GB2312" w:hAnsi="CESI宋体-GB2312" w:eastAsia="黑体" w:cs="黑体"/>
          <w:b w:val="0"/>
          <w:bCs w:val="0"/>
          <w:color w:val="auto"/>
          <w:sz w:val="32"/>
          <w:szCs w:val="32"/>
        </w:rPr>
        <w:t>、</w:t>
      </w:r>
      <w:r>
        <w:rPr>
          <w:rFonts w:hint="eastAsia" w:ascii="CESI宋体-GB2312" w:hAnsi="CESI宋体-GB2312" w:eastAsia="黑体" w:cs="黑体"/>
          <w:b w:val="0"/>
          <w:bCs w:val="0"/>
          <w:color w:val="auto"/>
          <w:sz w:val="32"/>
          <w:szCs w:val="32"/>
          <w:lang w:eastAsia="zh-CN"/>
        </w:rPr>
        <w:t>处理依据及结果</w:t>
      </w:r>
    </w:p>
    <w:p w14:paraId="227FB760">
      <w:pPr>
        <w:pStyle w:val="2"/>
        <w:ind w:firstLine="640" w:firstLineChars="200"/>
        <w:rPr>
          <w:rFonts w:hint="eastAsia" w:ascii="仿宋" w:hAnsi="仿宋" w:eastAsia="仿宋" w:cs="仿宋"/>
          <w:i w:val="0"/>
          <w:iCs w:val="0"/>
          <w:caps w:val="0"/>
          <w:color w:val="0F1115"/>
          <w:spacing w:val="0"/>
          <w:sz w:val="32"/>
          <w:szCs w:val="32"/>
          <w:shd w:val="clear" w:fill="FFFFFF"/>
          <w:lang w:eastAsia="zh-CN"/>
        </w:rPr>
      </w:pPr>
      <w:r>
        <w:rPr>
          <w:rFonts w:hint="eastAsia" w:ascii="仿宋" w:hAnsi="仿宋" w:eastAsia="仿宋" w:cs="仿宋"/>
          <w:i w:val="0"/>
          <w:iCs w:val="0"/>
          <w:caps w:val="0"/>
          <w:color w:val="0F1115"/>
          <w:spacing w:val="0"/>
          <w:sz w:val="32"/>
          <w:szCs w:val="32"/>
          <w:shd w:val="clear" w:fill="FFFFFF"/>
        </w:rPr>
        <w:t>经重新审查，本机关决定撤销2026年</w:t>
      </w:r>
      <w:r>
        <w:rPr>
          <w:rFonts w:hint="eastAsia" w:ascii="仿宋" w:hAnsi="仿宋" w:eastAsia="仿宋" w:cs="仿宋"/>
          <w:i w:val="0"/>
          <w:iCs w:val="0"/>
          <w:caps w:val="0"/>
          <w:color w:val="0F1115"/>
          <w:spacing w:val="0"/>
          <w:sz w:val="32"/>
          <w:szCs w:val="32"/>
          <w:shd w:val="clear" w:fill="FFFFFF"/>
          <w:lang w:val="en-US" w:eastAsia="zh-CN"/>
        </w:rPr>
        <w:t>3</w:t>
      </w:r>
      <w:r>
        <w:rPr>
          <w:rFonts w:hint="eastAsia" w:ascii="仿宋" w:hAnsi="仿宋" w:eastAsia="仿宋" w:cs="仿宋"/>
          <w:i w:val="0"/>
          <w:iCs w:val="0"/>
          <w:caps w:val="0"/>
          <w:color w:val="0F1115"/>
          <w:spacing w:val="0"/>
          <w:sz w:val="32"/>
          <w:szCs w:val="32"/>
          <w:shd w:val="clear" w:fill="FFFFFF"/>
        </w:rPr>
        <w:t>月</w:t>
      </w:r>
      <w:r>
        <w:rPr>
          <w:rFonts w:hint="eastAsia" w:ascii="仿宋" w:hAnsi="仿宋" w:eastAsia="仿宋" w:cs="仿宋"/>
          <w:i w:val="0"/>
          <w:iCs w:val="0"/>
          <w:caps w:val="0"/>
          <w:color w:val="0F1115"/>
          <w:spacing w:val="0"/>
          <w:sz w:val="32"/>
          <w:szCs w:val="32"/>
          <w:shd w:val="clear" w:fill="FFFFFF"/>
          <w:lang w:val="en-US" w:eastAsia="zh-CN"/>
        </w:rPr>
        <w:t>1</w:t>
      </w:r>
      <w:r>
        <w:rPr>
          <w:rFonts w:hint="eastAsia" w:ascii="仿宋" w:hAnsi="仿宋" w:eastAsia="仿宋" w:cs="仿宋"/>
          <w:i w:val="0"/>
          <w:iCs w:val="0"/>
          <w:caps w:val="0"/>
          <w:color w:val="0F1115"/>
          <w:spacing w:val="0"/>
          <w:sz w:val="32"/>
          <w:szCs w:val="32"/>
          <w:shd w:val="clear" w:fill="FFFFFF"/>
        </w:rPr>
        <w:t>0日作出的《政府采购投诉处理决定书》（白山财采购〔2026〕41号），并以本决定书为准，重新作出处理如下</w:t>
      </w:r>
      <w:r>
        <w:rPr>
          <w:rFonts w:hint="eastAsia" w:ascii="仿宋" w:hAnsi="仿宋" w:eastAsia="仿宋" w:cs="仿宋"/>
          <w:i w:val="0"/>
          <w:iCs w:val="0"/>
          <w:caps w:val="0"/>
          <w:color w:val="0F1115"/>
          <w:spacing w:val="0"/>
          <w:sz w:val="32"/>
          <w:szCs w:val="32"/>
          <w:shd w:val="clear" w:fill="FFFFFF"/>
          <w:lang w:eastAsia="zh-CN"/>
        </w:rPr>
        <w:t>：</w:t>
      </w:r>
    </w:p>
    <w:p w14:paraId="0A469EBC">
      <w:pPr>
        <w:pStyle w:val="2"/>
        <w:ind w:firstLine="640" w:firstLineChars="200"/>
        <w:rPr>
          <w:rFonts w:hint="eastAsia" w:ascii="仿宋" w:hAnsi="仿宋" w:eastAsia="仿宋" w:cs="仿宋"/>
          <w:sz w:val="32"/>
          <w:szCs w:val="32"/>
          <w:lang w:eastAsia="zh-CN"/>
        </w:rPr>
      </w:pPr>
      <w:r>
        <w:rPr>
          <w:rFonts w:hint="eastAsia" w:ascii="仿宋" w:hAnsi="仿宋" w:eastAsia="仿宋" w:cs="仿宋"/>
          <w:i w:val="0"/>
          <w:iCs w:val="0"/>
          <w:caps w:val="0"/>
          <w:color w:val="0F1115"/>
          <w:spacing w:val="0"/>
          <w:sz w:val="32"/>
          <w:szCs w:val="32"/>
          <w:shd w:val="clear" w:fill="FFFFFF"/>
          <w:lang w:eastAsia="zh-CN"/>
        </w:rPr>
        <w:t>针对投诉事项</w:t>
      </w:r>
      <w:r>
        <w:rPr>
          <w:rFonts w:hint="eastAsia" w:ascii="仿宋" w:hAnsi="仿宋" w:eastAsia="仿宋" w:cs="仿宋"/>
          <w:i w:val="0"/>
          <w:iCs w:val="0"/>
          <w:caps w:val="0"/>
          <w:color w:val="0F1115"/>
          <w:spacing w:val="0"/>
          <w:sz w:val="32"/>
          <w:szCs w:val="32"/>
          <w:shd w:val="clear" w:fill="FFFFFF"/>
          <w:lang w:val="en-US" w:eastAsia="zh-CN"/>
        </w:rPr>
        <w:t>1，</w:t>
      </w:r>
      <w:r>
        <w:rPr>
          <w:rFonts w:hint="eastAsia" w:ascii="仿宋" w:hAnsi="仿宋" w:eastAsia="仿宋" w:cs="仿宋"/>
          <w:sz w:val="32"/>
          <w:szCs w:val="32"/>
          <w:lang w:eastAsia="zh-CN"/>
        </w:rPr>
        <w:t>本项目属于货物类政府采购项目，2月25日公共资源交易中心发布更正公告，该公告已按照《政府采购货物和服务招标投标管理办法》（财政部令第87号）第六十九条规定，公示主要中标标的的名称、规格型号、数量、单价、服务要求，投诉事项缺乏事实依据及法律依据，投诉不成立。</w:t>
      </w:r>
    </w:p>
    <w:p w14:paraId="423F5E3C">
      <w:pPr>
        <w:pStyle w:val="2"/>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针对投诉事项</w:t>
      </w:r>
      <w:r>
        <w:rPr>
          <w:rFonts w:hint="eastAsia" w:ascii="仿宋" w:hAnsi="仿宋" w:eastAsia="仿宋" w:cs="仿宋"/>
          <w:sz w:val="32"/>
          <w:szCs w:val="32"/>
          <w:lang w:val="en-US" w:eastAsia="zh-CN"/>
        </w:rPr>
        <w:t>2，</w:t>
      </w:r>
      <w:r>
        <w:rPr>
          <w:rFonts w:hint="eastAsia" w:ascii="仿宋" w:hAnsi="仿宋" w:eastAsia="仿宋" w:cs="仿宋"/>
          <w:color w:val="000000" w:themeColor="text1"/>
          <w:kern w:val="0"/>
          <w:sz w:val="32"/>
          <w:szCs w:val="32"/>
          <w:lang w:eastAsia="zh-CN" w:bidi="ar"/>
          <w14:textFill>
            <w14:solidFill>
              <w14:schemeClr w14:val="tx1"/>
            </w14:solidFill>
          </w14:textFill>
        </w:rPr>
        <w:t>采购代理机构未在质疑答复中提供事实依据和法律依据，未告知质疑供应商依法投诉的权利，违反了</w:t>
      </w:r>
      <w:r>
        <w:rPr>
          <w:rFonts w:hint="eastAsia" w:ascii="仿宋" w:hAnsi="仿宋" w:eastAsia="仿宋" w:cs="仿宋"/>
          <w:color w:val="000000" w:themeColor="text1"/>
          <w:kern w:val="0"/>
          <w:sz w:val="32"/>
          <w:szCs w:val="32"/>
          <w:lang w:bidi="ar"/>
          <w14:textFill>
            <w14:solidFill>
              <w14:schemeClr w14:val="tx1"/>
            </w14:solidFill>
          </w14:textFill>
        </w:rPr>
        <w:t>《政府采购质疑和投诉办法》（财政部令第94号）</w:t>
      </w:r>
      <w:r>
        <w:rPr>
          <w:rFonts w:hint="eastAsia" w:ascii="仿宋" w:hAnsi="仿宋" w:eastAsia="仿宋" w:cs="仿宋"/>
          <w:color w:val="000000" w:themeColor="text1"/>
          <w:kern w:val="0"/>
          <w:sz w:val="32"/>
          <w:szCs w:val="32"/>
          <w:lang w:eastAsia="zh-CN" w:bidi="ar"/>
          <w14:textFill>
            <w14:solidFill>
              <w14:schemeClr w14:val="tx1"/>
            </w14:solidFill>
          </w14:textFill>
        </w:rPr>
        <w:t>第十五条第一款：“质疑答复应当包括下列内容：（一）质疑供应商的姓名或者名称；（二）收到质疑函的日期、质疑项目名称及编号；（三）质疑事项、质疑答复的具体内容、事实依据和法律依据；（四）告知质疑供应商依法投诉的权利；（五）质疑答复人名称；（六）答复质疑的日期”的规定，投诉事项成立。</w:t>
      </w:r>
    </w:p>
    <w:p w14:paraId="2036446C">
      <w:pPr>
        <w:pStyle w:val="2"/>
        <w:ind w:firstLine="640" w:firstLineChars="200"/>
        <w:rPr>
          <w:rFonts w:hint="default" w:ascii="仿宋" w:hAnsi="仿宋" w:eastAsia="仿宋" w:cs="仿宋"/>
          <w:color w:val="auto"/>
          <w:kern w:val="2"/>
          <w:sz w:val="32"/>
          <w:szCs w:val="32"/>
          <w:lang w:val="en-US" w:eastAsia="zh-CN"/>
        </w:rPr>
      </w:pPr>
      <w:r>
        <w:rPr>
          <w:rFonts w:hint="eastAsia" w:ascii="仿宋" w:hAnsi="仿宋" w:eastAsia="仿宋" w:cs="仿宋"/>
          <w:color w:val="auto"/>
          <w:kern w:val="2"/>
          <w:sz w:val="32"/>
          <w:szCs w:val="32"/>
        </w:rPr>
        <w:t>根据《政府采购法》第五十六条、《政府采购质疑和投诉办法》</w:t>
      </w:r>
      <w:r>
        <w:rPr>
          <w:rFonts w:hint="eastAsia" w:ascii="仿宋" w:hAnsi="仿宋" w:eastAsia="仿宋" w:cs="仿宋"/>
          <w:color w:val="auto"/>
          <w:spacing w:val="0"/>
          <w:position w:val="0"/>
          <w:sz w:val="32"/>
          <w:szCs w:val="32"/>
          <w:u w:val="none"/>
          <w:lang w:val="en-US" w:eastAsia="zh-CN"/>
        </w:rPr>
        <w:t>（财政部令第94号）第二十九条第（二）项和</w:t>
      </w:r>
      <w:r>
        <w:rPr>
          <w:rFonts w:hint="eastAsia" w:ascii="仿宋" w:hAnsi="仿宋" w:eastAsia="仿宋" w:cs="仿宋"/>
          <w:b w:val="0"/>
          <w:i w:val="0"/>
          <w:caps w:val="0"/>
          <w:smallCaps w:val="0"/>
          <w:color w:val="auto"/>
          <w:spacing w:val="0"/>
          <w:kern w:val="0"/>
          <w:sz w:val="32"/>
          <w:szCs w:val="32"/>
          <w:lang w:val="en-US" w:eastAsia="zh-CN"/>
        </w:rPr>
        <w:t>第三十一条第（四）项</w:t>
      </w:r>
      <w:r>
        <w:rPr>
          <w:rFonts w:hint="eastAsia" w:ascii="仿宋" w:hAnsi="仿宋" w:eastAsia="仿宋" w:cs="仿宋"/>
          <w:color w:val="auto"/>
          <w:kern w:val="2"/>
          <w:sz w:val="32"/>
          <w:szCs w:val="32"/>
        </w:rPr>
        <w:t>的规定作出如下处理决定：</w:t>
      </w:r>
      <w:r>
        <w:rPr>
          <w:rFonts w:hint="eastAsia" w:ascii="仿宋" w:hAnsi="仿宋" w:eastAsia="仿宋" w:cs="仿宋"/>
          <w:color w:val="auto"/>
          <w:kern w:val="2"/>
          <w:sz w:val="32"/>
          <w:szCs w:val="32"/>
          <w:lang w:val="en-US" w:eastAsia="zh-CN"/>
        </w:rPr>
        <w:t>投诉事项1不成立，投诉事项2成立，鉴于被投诉人已在更正公告中补充完善了中标产品信息，本项目采购结果无需变更。责令被投诉人加强政府采购业务规范化管理，提高质疑答复质量。</w:t>
      </w:r>
    </w:p>
    <w:p w14:paraId="47FD86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如不服本决定，可以在决定书送达之日起六十日内向</w:t>
      </w:r>
      <w:r>
        <w:rPr>
          <w:rFonts w:hint="eastAsia" w:ascii="仿宋" w:hAnsi="仿宋" w:eastAsia="仿宋" w:cs="仿宋"/>
          <w:sz w:val="32"/>
          <w:szCs w:val="32"/>
          <w:lang w:eastAsia="zh-CN"/>
        </w:rPr>
        <w:t>白山市</w:t>
      </w:r>
      <w:r>
        <w:rPr>
          <w:rFonts w:hint="eastAsia" w:ascii="仿宋" w:hAnsi="仿宋" w:eastAsia="仿宋" w:cs="仿宋"/>
          <w:sz w:val="32"/>
          <w:szCs w:val="32"/>
        </w:rPr>
        <w:t>人民政府申请行政复议，也可以在决定书送达之日起六个月内向吉林省</w:t>
      </w:r>
      <w:r>
        <w:rPr>
          <w:rFonts w:hint="eastAsia" w:ascii="仿宋" w:hAnsi="仿宋" w:eastAsia="仿宋" w:cs="仿宋"/>
          <w:sz w:val="32"/>
          <w:szCs w:val="32"/>
          <w:lang w:eastAsia="zh-CN"/>
        </w:rPr>
        <w:t>白山市浑江区</w:t>
      </w:r>
      <w:r>
        <w:rPr>
          <w:rFonts w:hint="eastAsia" w:ascii="仿宋" w:hAnsi="仿宋" w:eastAsia="仿宋" w:cs="仿宋"/>
          <w:sz w:val="32"/>
          <w:szCs w:val="32"/>
        </w:rPr>
        <w:t>人民法院提起行政诉讼。</w:t>
      </w:r>
    </w:p>
    <w:p w14:paraId="2A20961A">
      <w:pPr>
        <w:spacing w:line="560" w:lineRule="exact"/>
        <w:ind w:firstLine="640" w:firstLineChars="200"/>
        <w:rPr>
          <w:rFonts w:hint="eastAsia" w:ascii="仿宋" w:hAnsi="仿宋" w:eastAsia="仿宋" w:cs="仿宋"/>
          <w:sz w:val="32"/>
          <w:szCs w:val="32"/>
        </w:rPr>
      </w:pPr>
    </w:p>
    <w:p w14:paraId="3F842C6D">
      <w:pPr>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此页无正文）</w:t>
      </w:r>
    </w:p>
    <w:p w14:paraId="33B99DC7">
      <w:pPr>
        <w:spacing w:line="560" w:lineRule="exact"/>
        <w:ind w:firstLine="640" w:firstLineChars="200"/>
        <w:rPr>
          <w:rFonts w:hint="eastAsia" w:ascii="仿宋" w:hAnsi="仿宋" w:eastAsia="仿宋" w:cs="仿宋"/>
          <w:sz w:val="32"/>
          <w:szCs w:val="32"/>
        </w:rPr>
      </w:pPr>
    </w:p>
    <w:p w14:paraId="018C6107">
      <w:pPr>
        <w:spacing w:line="560" w:lineRule="exact"/>
        <w:ind w:firstLine="640" w:firstLineChars="200"/>
        <w:rPr>
          <w:rFonts w:hint="eastAsia" w:ascii="仿宋" w:hAnsi="仿宋" w:eastAsia="仿宋" w:cs="仿宋"/>
          <w:sz w:val="32"/>
          <w:szCs w:val="32"/>
        </w:rPr>
      </w:pPr>
    </w:p>
    <w:p w14:paraId="2102D40A">
      <w:pPr>
        <w:spacing w:line="560" w:lineRule="exact"/>
        <w:ind w:firstLine="640" w:firstLineChars="200"/>
        <w:rPr>
          <w:rFonts w:hint="eastAsia" w:ascii="仿宋" w:hAnsi="仿宋" w:eastAsia="仿宋" w:cs="仿宋"/>
          <w:sz w:val="32"/>
          <w:szCs w:val="32"/>
        </w:rPr>
      </w:pPr>
    </w:p>
    <w:p w14:paraId="32312F0E">
      <w:pPr>
        <w:spacing w:line="560" w:lineRule="exact"/>
        <w:ind w:firstLine="640" w:firstLineChars="200"/>
        <w:rPr>
          <w:rFonts w:hint="eastAsia" w:ascii="仿宋" w:hAnsi="仿宋" w:eastAsia="仿宋" w:cs="仿宋"/>
          <w:sz w:val="32"/>
          <w:szCs w:val="32"/>
        </w:rPr>
      </w:pPr>
    </w:p>
    <w:p w14:paraId="16278D75">
      <w:pPr>
        <w:spacing w:line="560" w:lineRule="exact"/>
        <w:ind w:firstLine="640" w:firstLineChars="200"/>
        <w:rPr>
          <w:rFonts w:hint="eastAsia" w:ascii="仿宋" w:hAnsi="仿宋" w:eastAsia="仿宋" w:cs="仿宋"/>
          <w:sz w:val="32"/>
          <w:szCs w:val="32"/>
        </w:rPr>
      </w:pPr>
    </w:p>
    <w:p w14:paraId="067A59FB">
      <w:pPr>
        <w:spacing w:line="560" w:lineRule="exact"/>
        <w:ind w:firstLine="640" w:firstLineChars="200"/>
        <w:rPr>
          <w:rFonts w:hint="eastAsia" w:ascii="仿宋" w:hAnsi="仿宋" w:eastAsia="仿宋" w:cs="仿宋"/>
          <w:sz w:val="32"/>
          <w:szCs w:val="32"/>
        </w:rPr>
      </w:pPr>
    </w:p>
    <w:p w14:paraId="236240A8">
      <w:pPr>
        <w:spacing w:line="560" w:lineRule="exact"/>
        <w:ind w:firstLine="640" w:firstLineChars="200"/>
        <w:rPr>
          <w:rFonts w:hint="eastAsia" w:ascii="仿宋" w:hAnsi="仿宋" w:eastAsia="仿宋" w:cs="仿宋"/>
          <w:sz w:val="32"/>
          <w:szCs w:val="32"/>
        </w:rPr>
      </w:pPr>
    </w:p>
    <w:p w14:paraId="5E681AD5">
      <w:pPr>
        <w:spacing w:line="560" w:lineRule="exact"/>
        <w:ind w:firstLine="640" w:firstLineChars="200"/>
        <w:rPr>
          <w:rFonts w:hint="eastAsia" w:ascii="仿宋" w:hAnsi="仿宋" w:eastAsia="仿宋" w:cs="仿宋"/>
          <w:sz w:val="32"/>
          <w:szCs w:val="32"/>
        </w:rPr>
      </w:pPr>
    </w:p>
    <w:p w14:paraId="332E2631">
      <w:pPr>
        <w:spacing w:line="560" w:lineRule="exact"/>
        <w:rPr>
          <w:rFonts w:hint="eastAsia" w:ascii="仿宋" w:hAnsi="仿宋" w:eastAsia="仿宋" w:cs="仿宋"/>
          <w:sz w:val="32"/>
          <w:szCs w:val="32"/>
        </w:rPr>
      </w:pPr>
    </w:p>
    <w:p w14:paraId="036681AF">
      <w:pPr>
        <w:spacing w:line="560" w:lineRule="exact"/>
        <w:ind w:firstLine="640" w:firstLineChars="200"/>
        <w:rPr>
          <w:rFonts w:hint="eastAsia" w:ascii="仿宋" w:hAnsi="仿宋" w:eastAsia="仿宋" w:cs="仿宋"/>
          <w:sz w:val="32"/>
          <w:szCs w:val="32"/>
        </w:rPr>
      </w:pPr>
    </w:p>
    <w:p w14:paraId="1AF73A5E">
      <w:pPr>
        <w:spacing w:line="560" w:lineRule="exact"/>
        <w:rPr>
          <w:rFonts w:hint="eastAsia" w:ascii="仿宋" w:hAnsi="仿宋" w:eastAsia="仿宋" w:cs="仿宋"/>
          <w:sz w:val="32"/>
          <w:szCs w:val="32"/>
        </w:rPr>
      </w:pPr>
    </w:p>
    <w:p w14:paraId="654AEA21">
      <w:pPr>
        <w:spacing w:line="560" w:lineRule="exact"/>
        <w:ind w:firstLine="640" w:firstLineChars="200"/>
        <w:rPr>
          <w:rFonts w:hint="eastAsia" w:ascii="仿宋" w:hAnsi="仿宋" w:eastAsia="仿宋" w:cs="仿宋"/>
          <w:sz w:val="32"/>
          <w:szCs w:val="32"/>
        </w:rPr>
      </w:pPr>
    </w:p>
    <w:p w14:paraId="13AF8449">
      <w:pPr>
        <w:pStyle w:val="6"/>
        <w:widowControl/>
        <w:spacing w:after="120" w:line="14" w:lineRule="atLeast"/>
        <w:ind w:firstLine="640" w:firstLineChars="20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白山市财政局     </w:t>
      </w:r>
    </w:p>
    <w:p w14:paraId="03A64222">
      <w:pPr>
        <w:rPr>
          <w:rFonts w:ascii="仿宋" w:hAnsi="仿宋" w:eastAsia="仿宋" w:cs="仿宋"/>
          <w:b/>
          <w:bCs/>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p>
    <w:p w14:paraId="4A9CBF98">
      <w:pPr>
        <w:spacing w:line="578" w:lineRule="exact"/>
        <w:rPr>
          <w:rFonts w:ascii="Times New Roman" w:hAnsi="Times New Roman" w:eastAsia="仿宋_GB2312"/>
          <w:sz w:val="32"/>
          <w:szCs w:val="32"/>
        </w:rPr>
      </w:pPr>
    </w:p>
    <w:p w14:paraId="766E65BD">
      <w:pPr>
        <w:spacing w:line="578" w:lineRule="exact"/>
        <w:rPr>
          <w:rFonts w:ascii="Times New Roman" w:hAnsi="Times New Roman" w:eastAsia="仿宋_GB2312"/>
          <w:sz w:val="32"/>
          <w:szCs w:val="32"/>
        </w:rPr>
      </w:pPr>
    </w:p>
    <w:p w14:paraId="513B7A5B">
      <w:pPr>
        <w:spacing w:line="578" w:lineRule="exact"/>
        <w:rPr>
          <w:rFonts w:ascii="仿宋" w:hAnsi="仿宋" w:eastAsia="仿宋" w:cs="仿宋_GB2312"/>
          <w:color w:val="000000"/>
          <w:sz w:val="32"/>
          <w:szCs w:val="32"/>
          <w:lang w:val="zh-CN"/>
        </w:rPr>
      </w:pPr>
    </w:p>
    <w:p w14:paraId="63B44F55">
      <w:pPr>
        <w:spacing w:line="578" w:lineRule="exact"/>
        <w:rPr>
          <w:rFonts w:ascii="仿宋" w:hAnsi="仿宋" w:eastAsia="仿宋" w:cs="仿宋_GB2312"/>
          <w:color w:val="000000"/>
          <w:sz w:val="32"/>
          <w:szCs w:val="32"/>
          <w:lang w:val="zh-CN"/>
        </w:rPr>
      </w:pPr>
    </w:p>
    <w:p w14:paraId="09B92F36">
      <w:pPr>
        <w:jc w:val="left"/>
        <w:rPr>
          <w:rFonts w:hint="eastAsia" w:ascii="仿宋" w:hAnsi="仿宋" w:eastAsia="仿宋" w:cs="仿宋"/>
          <w:sz w:val="32"/>
          <w:szCs w:val="32"/>
        </w:rPr>
      </w:pPr>
    </w:p>
    <w:p w14:paraId="5D64C3A6">
      <w:pPr>
        <w:jc w:val="left"/>
        <w:rPr>
          <w:rFonts w:hint="eastAsia" w:ascii="仿宋" w:hAnsi="仿宋" w:eastAsia="仿宋" w:cs="仿宋"/>
          <w:sz w:val="32"/>
          <w:szCs w:val="32"/>
        </w:rPr>
      </w:pPr>
      <w:r>
        <w:rPr>
          <w:rFonts w:hint="eastAsia" w:ascii="仿宋" w:hAnsi="仿宋" w:eastAsia="仿宋" w:cs="仿宋"/>
          <w:sz w:val="32"/>
          <w:szCs w:val="32"/>
        </w:rPr>
        <w:t>信息公开选项：主动公开</w:t>
      </w:r>
    </w:p>
    <w:p w14:paraId="637A9FB4">
      <w:pPr>
        <w:jc w:val="left"/>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margin">
                  <wp:posOffset>-81915</wp:posOffset>
                </wp:positionH>
                <wp:positionV relativeFrom="margin">
                  <wp:posOffset>8132445</wp:posOffset>
                </wp:positionV>
                <wp:extent cx="5562600" cy="9525"/>
                <wp:effectExtent l="0" t="7620" r="0" b="11430"/>
                <wp:wrapNone/>
                <wp:docPr id="1" name="直接连接符 1"/>
                <wp:cNvGraphicFramePr/>
                <a:graphic xmlns:a="http://schemas.openxmlformats.org/drawingml/2006/main">
                  <a:graphicData uri="http://schemas.microsoft.com/office/word/2010/wordprocessingShape">
                    <wps:wsp>
                      <wps:cNvCnPr/>
                      <wps:spPr>
                        <a:xfrm flipV="1">
                          <a:off x="0" y="0"/>
                          <a:ext cx="5562600" cy="9525"/>
                        </a:xfrm>
                        <a:prstGeom prst="line">
                          <a:avLst/>
                        </a:prstGeom>
                        <a:ln w="15875" cap="flat" cmpd="sng">
                          <a:solidFill>
                            <a:srgbClr val="000001"/>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flip:y;margin-left:-6.45pt;margin-top:640.35pt;height:0.75pt;width:438pt;mso-position-horizontal-relative:margin;mso-position-vertical-relative:margin;z-index:251659264;mso-width-relative:page;mso-height-relative:page;" filled="f" stroked="t" coordsize="21600,21600" o:gfxdata="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OMEeC2gAAAA0BAAAPAAAAAAAAAAEAIAAAACIA&#10;AABkcnMvZG93bnJldi54bWxQSwECFAAUAAAACACHTuJADRf1YQcCAAAKBAAADgAAAAAAAAABACAA&#10;AAApAQAAZHJzL2Uyb0RvYy54bWxQSwUGAAAAAAYABgBZAQAAogUAAAAA&#10;">
                <v:fill on="f" focussize="0,0"/>
                <v:stroke weight="1.25pt" color="#000001" joinstyle="miter"/>
                <v:imagedata o:title=""/>
                <o:lock v:ext="edit" aspectratio="f"/>
              </v:line>
            </w:pict>
          </mc:Fallback>
        </mc:AlternateContent>
      </w: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margin">
                  <wp:posOffset>-72390</wp:posOffset>
                </wp:positionH>
                <wp:positionV relativeFrom="margin">
                  <wp:posOffset>7760970</wp:posOffset>
                </wp:positionV>
                <wp:extent cx="5562600" cy="9525"/>
                <wp:effectExtent l="0" t="7620" r="0" b="11430"/>
                <wp:wrapNone/>
                <wp:docPr id="2" name="直接连接符 2"/>
                <wp:cNvGraphicFramePr/>
                <a:graphic xmlns:a="http://schemas.openxmlformats.org/drawingml/2006/main">
                  <a:graphicData uri="http://schemas.microsoft.com/office/word/2010/wordprocessingShape">
                    <wps:wsp>
                      <wps:cNvCnPr/>
                      <wps:spPr>
                        <a:xfrm flipV="1">
                          <a:off x="0" y="0"/>
                          <a:ext cx="5562600" cy="9525"/>
                        </a:xfrm>
                        <a:prstGeom prst="line">
                          <a:avLst/>
                        </a:prstGeom>
                        <a:ln w="15875" cap="flat" cmpd="sng">
                          <a:solidFill>
                            <a:srgbClr val="000001"/>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flip:y;margin-left:-5.7pt;margin-top:611.1pt;height:0.75pt;width:438pt;mso-position-horizontal-relative:margin;mso-position-vertical-relative:margin;z-index:251660288;mso-width-relative:page;mso-height-relative:page;" filled="f" stroked="t" coordsize="21600,21600" o:gfxdata="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tJoXNoAAAANAQAADwAAAAAAAAABACAAAAAi&#10;AAAAZHJzL2Rvd25yZXYueG1sUEsBAhQAFAAAAAgAh07iQLZNMO0IAgAACgQAAA4AAAAAAAAAAQAg&#10;AAAAKQEAAGRycy9lMm9Eb2MueG1sUEsFBgAAAAAGAAYAWQEAAKMFAAAAAA==&#10;">
                <v:fill on="f" focussize="0,0"/>
                <v:stroke weight="1.25pt" color="#000001" joinstyle="miter"/>
                <v:imagedata o:title=""/>
                <o:lock v:ext="edit" aspectratio="f"/>
              </v:line>
            </w:pict>
          </mc:Fallback>
        </mc:AlternateContent>
      </w:r>
      <w:r>
        <w:rPr>
          <w:rFonts w:hint="eastAsia" w:ascii="仿宋" w:hAnsi="仿宋" w:eastAsia="仿宋" w:cs="仿宋"/>
          <w:sz w:val="32"/>
          <w:szCs w:val="32"/>
        </w:rPr>
        <w:t>抄送：政府采购相关当事人</w:t>
      </w:r>
    </w:p>
    <w:p w14:paraId="6F9C535B">
      <w:pPr>
        <w:bidi w:val="0"/>
        <w:jc w:val="left"/>
        <w:rPr>
          <w:rFonts w:ascii="仿宋" w:hAnsi="仿宋" w:eastAsia="仿宋" w:cs="仿宋_GB2312"/>
          <w:color w:val="000000"/>
          <w:sz w:val="32"/>
          <w:szCs w:val="32"/>
          <w:lang w:val="zh-CN"/>
        </w:rPr>
      </w:pPr>
      <w:r>
        <w:rPr>
          <w:rFonts w:hint="eastAsia" w:ascii="仿宋" w:hAnsi="仿宋" w:eastAsia="仿宋" w:cs="仿宋"/>
          <w:sz w:val="32"/>
          <w:szCs w:val="32"/>
        </w:rPr>
        <mc:AlternateContent>
          <mc:Choice Requires="wps">
            <w:drawing>
              <wp:anchor distT="0" distB="0" distL="114300" distR="114300" simplePos="0" relativeHeight="251661312" behindDoc="0" locked="0" layoutInCell="1" allowOverlap="1">
                <wp:simplePos x="0" y="0"/>
                <wp:positionH relativeFrom="margin">
                  <wp:posOffset>-130810</wp:posOffset>
                </wp:positionH>
                <wp:positionV relativeFrom="margin">
                  <wp:posOffset>8531225</wp:posOffset>
                </wp:positionV>
                <wp:extent cx="5562600" cy="9525"/>
                <wp:effectExtent l="0" t="7620" r="0" b="11430"/>
                <wp:wrapNone/>
                <wp:docPr id="3" name="直接连接符 3"/>
                <wp:cNvGraphicFramePr/>
                <a:graphic xmlns:a="http://schemas.openxmlformats.org/drawingml/2006/main">
                  <a:graphicData uri="http://schemas.microsoft.com/office/word/2010/wordprocessingShape">
                    <wps:wsp>
                      <wps:cNvCnPr/>
                      <wps:spPr>
                        <a:xfrm flipV="1">
                          <a:off x="0" y="0"/>
                          <a:ext cx="5562600" cy="9525"/>
                        </a:xfrm>
                        <a:prstGeom prst="line">
                          <a:avLst/>
                        </a:prstGeom>
                        <a:ln w="15875" cap="flat" cmpd="sng">
                          <a:solidFill>
                            <a:srgbClr val="000001"/>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flip:y;margin-left:-10.3pt;margin-top:671.75pt;height:0.75pt;width:438pt;mso-position-horizontal-relative:margin;mso-position-vertical-relative:margin;z-index:251661312;mso-width-relative:page;mso-height-relative:page;" filled="f" stroked="t" coordsize="21600,21600" o:gfxdata="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BCB3NsAAAANAQAADwAAAAAAAAABACAA&#10;AAAiAAAAZHJzL2Rvd25yZXYueG1sUEsBAhQAFAAAAAgAh07iQOB5XCAKAgAACgQAAA4AAAAAAAAA&#10;AQAgAAAAKgEAAGRycy9lMm9Eb2MueG1sUEsFBgAAAAAGAAYAWQEAAKYFAAAAAA==&#10;">
                <v:fill on="f" focussize="0,0"/>
                <v:stroke weight="1.25pt" color="#000001" joinstyle="miter"/>
                <v:imagedata o:title=""/>
                <o:lock v:ext="edit" aspectratio="f"/>
              </v:line>
            </w:pict>
          </mc:Fallback>
        </mc:AlternateContent>
      </w:r>
      <w:r>
        <w:rPr>
          <w:rFonts w:hint="eastAsia" w:ascii="仿宋" w:hAnsi="仿宋" w:eastAsia="仿宋" w:cs="仿宋"/>
          <w:sz w:val="32"/>
          <w:szCs w:val="32"/>
        </w:rPr>
        <w:t>白山市财政局办公室202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日印发</w:t>
      </w:r>
    </w:p>
    <w:p w14:paraId="4588F31A">
      <w:pPr>
        <w:rPr>
          <w:rFonts w:ascii="仿宋" w:hAnsi="仿宋" w:eastAsia="仿宋"/>
          <w:sz w:val="28"/>
          <w:szCs w:val="28"/>
        </w:rPr>
      </w:pPr>
    </w:p>
    <w:sectPr>
      <w:footerReference r:id="rId3" w:type="even"/>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47025">
    <w:pPr>
      <w:pStyle w:val="4"/>
    </w:pPr>
    <w: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938119">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14:paraId="53938119">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FDC6E"/>
    <w:multiLevelType w:val="singleLevel"/>
    <w:tmpl w:val="DFEFDC6E"/>
    <w:lvl w:ilvl="0" w:tentative="0">
      <w:start w:val="1"/>
      <w:numFmt w:val="chineseCounting"/>
      <w:suff w:val="nothing"/>
      <w:lvlText w:val="%1、"/>
      <w:lvlJc w:val="left"/>
      <w:rPr>
        <w:rFonts w:hint="eastAsia"/>
      </w:rPr>
    </w:lvl>
  </w:abstractNum>
  <w:abstractNum w:abstractNumId="1">
    <w:nsid w:val="0A3065CD"/>
    <w:multiLevelType w:val="singleLevel"/>
    <w:tmpl w:val="0A3065C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F63B1"/>
    <w:rsid w:val="000504EB"/>
    <w:rsid w:val="00167408"/>
    <w:rsid w:val="001943E5"/>
    <w:rsid w:val="001E187F"/>
    <w:rsid w:val="002A4A8E"/>
    <w:rsid w:val="002B79C0"/>
    <w:rsid w:val="00335C9C"/>
    <w:rsid w:val="00376417"/>
    <w:rsid w:val="003972BC"/>
    <w:rsid w:val="00425211"/>
    <w:rsid w:val="00457534"/>
    <w:rsid w:val="004953FB"/>
    <w:rsid w:val="004B1E6C"/>
    <w:rsid w:val="004D3316"/>
    <w:rsid w:val="00503950"/>
    <w:rsid w:val="0051334B"/>
    <w:rsid w:val="0052263E"/>
    <w:rsid w:val="00532BA8"/>
    <w:rsid w:val="00592075"/>
    <w:rsid w:val="005B7142"/>
    <w:rsid w:val="005E0012"/>
    <w:rsid w:val="00617EF9"/>
    <w:rsid w:val="00653935"/>
    <w:rsid w:val="00667D82"/>
    <w:rsid w:val="00696B89"/>
    <w:rsid w:val="006B71D6"/>
    <w:rsid w:val="006C3F1A"/>
    <w:rsid w:val="007E0D7A"/>
    <w:rsid w:val="00876641"/>
    <w:rsid w:val="0087718F"/>
    <w:rsid w:val="00891A37"/>
    <w:rsid w:val="00896FA7"/>
    <w:rsid w:val="008C40F7"/>
    <w:rsid w:val="008E605B"/>
    <w:rsid w:val="009C25BA"/>
    <w:rsid w:val="009C3E42"/>
    <w:rsid w:val="00A27FB1"/>
    <w:rsid w:val="00A3034D"/>
    <w:rsid w:val="00A43BC7"/>
    <w:rsid w:val="00A6661B"/>
    <w:rsid w:val="00AA1FCE"/>
    <w:rsid w:val="00B27A41"/>
    <w:rsid w:val="00BC6DA2"/>
    <w:rsid w:val="00BF3193"/>
    <w:rsid w:val="00BF5400"/>
    <w:rsid w:val="00C76602"/>
    <w:rsid w:val="00C86977"/>
    <w:rsid w:val="00CB6205"/>
    <w:rsid w:val="00D15C05"/>
    <w:rsid w:val="00D21112"/>
    <w:rsid w:val="00DE0905"/>
    <w:rsid w:val="00E758E6"/>
    <w:rsid w:val="00EC07BB"/>
    <w:rsid w:val="00F07718"/>
    <w:rsid w:val="00F30DBB"/>
    <w:rsid w:val="00F3226C"/>
    <w:rsid w:val="00F46805"/>
    <w:rsid w:val="00FE74F5"/>
    <w:rsid w:val="014F6587"/>
    <w:rsid w:val="01E2061B"/>
    <w:rsid w:val="05BC583D"/>
    <w:rsid w:val="0992537C"/>
    <w:rsid w:val="0BF4480A"/>
    <w:rsid w:val="10E904CB"/>
    <w:rsid w:val="137E2FC1"/>
    <w:rsid w:val="13DB287F"/>
    <w:rsid w:val="1575158C"/>
    <w:rsid w:val="2751788A"/>
    <w:rsid w:val="2AEF63B1"/>
    <w:rsid w:val="2D61617C"/>
    <w:rsid w:val="3092592F"/>
    <w:rsid w:val="39085AC7"/>
    <w:rsid w:val="3F8165B6"/>
    <w:rsid w:val="418C1737"/>
    <w:rsid w:val="46036A72"/>
    <w:rsid w:val="46D81947"/>
    <w:rsid w:val="78A7300F"/>
    <w:rsid w:val="7C44675E"/>
    <w:rsid w:val="7F384B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6"/>
    <w:semiHidden/>
    <w:unhideWhenUsed/>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rFonts w:asciiTheme="minorHAnsi" w:hAnsiTheme="minorHAnsi" w:eastAsiaTheme="minorEastAsia" w:cstheme="minorBidi"/>
      <w:sz w:val="24"/>
    </w:rPr>
  </w:style>
  <w:style w:type="character" w:styleId="9">
    <w:name w:val="page number"/>
    <w:basedOn w:val="8"/>
    <w:qFormat/>
    <w:uiPriority w:val="0"/>
  </w:style>
  <w:style w:type="character" w:styleId="10">
    <w:name w:val="Hyperlink"/>
    <w:basedOn w:val="8"/>
    <w:semiHidden/>
    <w:unhideWhenUsed/>
    <w:uiPriority w:val="99"/>
    <w:rPr>
      <w:color w:val="0000FF"/>
      <w:u w:val="single"/>
    </w:rPr>
  </w:style>
  <w:style w:type="character" w:customStyle="1" w:styleId="11">
    <w:name w:val="页脚 Char"/>
    <w:basedOn w:val="8"/>
    <w:link w:val="4"/>
    <w:qFormat/>
    <w:uiPriority w:val="99"/>
    <w:rPr>
      <w:sz w:val="18"/>
      <w:szCs w:val="18"/>
    </w:rPr>
  </w:style>
  <w:style w:type="character" w:customStyle="1" w:styleId="12">
    <w:name w:val="页眉 Char"/>
    <w:basedOn w:val="8"/>
    <w:link w:val="5"/>
    <w:uiPriority w:val="99"/>
    <w:rPr>
      <w:sz w:val="18"/>
      <w:szCs w:val="18"/>
    </w:rPr>
  </w:style>
  <w:style w:type="paragraph" w:customStyle="1" w:styleId="13">
    <w:name w:val="p0"/>
    <w:next w:val="4"/>
    <w:uiPriority w:val="99"/>
    <w:pPr>
      <w:jc w:val="both"/>
    </w:pPr>
    <w:rPr>
      <w:rFonts w:ascii="Times New Roman" w:hAnsi="Times New Roman" w:eastAsia="宋体" w:cs="Times New Roman"/>
      <w:sz w:val="21"/>
      <w:szCs w:val="21"/>
      <w:lang w:val="en-US" w:eastAsia="zh-CN" w:bidi="ar-SA"/>
    </w:rPr>
  </w:style>
  <w:style w:type="paragraph" w:styleId="14">
    <w:name w:val="No Spacing"/>
    <w:link w:val="15"/>
    <w:qFormat/>
    <w:uiPriority w:val="1"/>
    <w:rPr>
      <w:rFonts w:asciiTheme="minorHAnsi" w:hAnsiTheme="minorHAnsi" w:eastAsiaTheme="minorEastAsia" w:cstheme="minorBidi"/>
      <w:sz w:val="22"/>
      <w:szCs w:val="22"/>
      <w:lang w:val="en-US" w:eastAsia="zh-CN" w:bidi="ar-SA"/>
    </w:rPr>
  </w:style>
  <w:style w:type="character" w:customStyle="1" w:styleId="15">
    <w:name w:val="无间隔 Char"/>
    <w:basedOn w:val="8"/>
    <w:link w:val="14"/>
    <w:uiPriority w:val="1"/>
    <w:rPr>
      <w:rFonts w:asciiTheme="minorHAnsi" w:hAnsiTheme="minorHAnsi" w:eastAsiaTheme="minorEastAsia" w:cstheme="minorBidi"/>
      <w:sz w:val="22"/>
      <w:szCs w:val="22"/>
    </w:rPr>
  </w:style>
  <w:style w:type="character" w:customStyle="1" w:styleId="16">
    <w:name w:val="批注框文本 Char"/>
    <w:basedOn w:val="8"/>
    <w:link w:val="3"/>
    <w:semiHidden/>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C4C83F-E138-4217-9296-D63C38067956}">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1148</Words>
  <Characters>1204</Characters>
  <Lines>4</Lines>
  <Paragraphs>1</Paragraphs>
  <TotalTime>54</TotalTime>
  <ScaleCrop>false</ScaleCrop>
  <LinksUpToDate>false</LinksUpToDate>
  <CharactersWithSpaces>1277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2023-09-13T06:36:00Z</dcterms:created>
  <dc:creator>李想</dc:creator>
  <cp:lastModifiedBy>Mercurius.</cp:lastModifiedBy>
  <cp:lastPrinted>2026-05-22T07:39:44Z</cp:lastPrinted>
  <dcterms:modified xsi:type="dcterms:W3CDTF">2026-05-22T08:15:17Z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eyJoZGlkIjoiOWVkZDBmYzY5NmQyNzdjNGRjYzYwZDc0MmQ4OWFjNTUiLCJ1c2VySWQiOiIxMTIzNjg3NjIyIn0=</vt:lpwstr>
  </property>
  <property fmtid="{D5CDD505-2E9C-101B-9397-08002B2CF9AE}" pid="4" name="ICV">
    <vt:lpwstr>4D458A2E8E9F417E854994B8843826BC_13</vt:lpwstr>
  </property>
</Properties>
</file>