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03030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36"/>
          <w:szCs w:val="36"/>
          <w:bdr w:val="none" w:color="auto" w:sz="0" w:space="0"/>
          <w:shd w:val="clear" w:fill="FFFFFF"/>
        </w:rPr>
        <w:t>关于延长地方水库移民扶持基金优惠政策执行期限的通知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 </w:t>
      </w:r>
      <w:r>
        <w:rPr>
          <w:rFonts w:ascii="楷体" w:hAnsi="楷体" w:eastAsia="楷体" w:cs="楷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吉财税〔2023〕994号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省水利厅、国家税务总局吉林省税务局，各市（州）、长白山管委会财政局、发展改革委，各县（市）财政局、发展改革委：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为进一步减轻企业负担，支持企业发展,按照《财政部 国家发展改革委关于继续执行部分行政事业性收费、政府性基金优惠政策的公告》（财政部 国家发展改革委公告2023年第45号）相关规定，现将吉林省地方水库移民扶持基金相关政策通知如下：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吉林省财政厅等6部门印发《关于“十三五”期间调整部分政府性基金有关政策的通知》（吉财税[2017]549号）第二条“停征地方水库移民扶持基金中小型水库移民扶助基金部分”的规定，执行期限延长至2027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吉林省财政厅               吉林省发展改革委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8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0303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03030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                                2023年10月12日  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DJjZDU0ZWRkZDhhNDA0MzQzYmMwOWQ2ODBjMjUifQ=="/>
  </w:docVars>
  <w:rsids>
    <w:rsidRoot w:val="28083F56"/>
    <w:rsid w:val="280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2023-10-16T06:08:00Z</dcterms:created>
  <dc:creator>l</dc:creator>
  <cp:lastModifiedBy>l</cp:lastModifiedBy>
  <dcterms:modified xsi:type="dcterms:W3CDTF">2023-10-16T06:08:12Z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01B104AF998C4A66A412C4305E7D20C1_11</vt:lpwstr>
  </property>
</Properties>
</file>