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sz w:val="48"/>
          <w:szCs w:val="48"/>
        </w:rPr>
      </w:pPr>
      <w:r>
        <w:rPr>
          <w:rFonts w:hint="eastAsia" w:ascii="仿宋_GB2312" w:hAnsi="仿宋_GB2312" w:eastAsia="仿宋_GB2312" w:cs="仿宋_GB2312"/>
          <w:sz w:val="48"/>
          <w:szCs w:val="48"/>
        </w:rPr>
        <w:t>2017 年部门决算公开补充资料</w:t>
      </w:r>
    </w:p>
    <w:p>
      <w:pPr>
        <w:jc w:val="center"/>
        <w:rPr>
          <w:rFonts w:hint="eastAsia" w:ascii="仿宋_GB2312" w:hAnsi="仿宋_GB2312" w:eastAsia="仿宋_GB2312" w:cs="仿宋_GB2312"/>
          <w:sz w:val="48"/>
          <w:szCs w:val="4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 机关运行经费执行情况说明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 年本部门机关运行经费 11.92 万元，比 2016 年减少25.4 万元，降低 68.06%，主要原因是本年度无大型印刷费用支出。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 政府采购支出情况说明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 年本部门无政府采购支出。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三、细化说明因公出国（境）团组数及人数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2017 年本部门 0 人因公出国（境）。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四、说明国内公务接待的批次及人数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 年本部门国内公务接待 0 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中共白山市委党史研究室</w:t>
      </w:r>
      <w:bookmarkEnd w:id="0"/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2018 年 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D2040"/>
    <w:rsid w:val="079D2040"/>
    <w:rsid w:val="2E156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2019-02-13T08:13:00Z</dcterms:created>
  <dc:creator>jlccqpy</dc:creator>
  <cp:lastModifiedBy>jlccqpy</cp:lastModifiedBy>
  <dcterms:modified xsi:type="dcterms:W3CDTF">2019-02-13T08:15:23Z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